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11BE8" w14:textId="77777777" w:rsidR="004D2465" w:rsidRDefault="004D09AB" w:rsidP="004D2465">
      <w:pPr>
        <w:pStyle w:val="TitleofHandout"/>
      </w:pPr>
      <w:r>
        <w:rPr>
          <w:rFonts w:asciiTheme="minorHAnsi" w:hAnsiTheme="minorHAnsi" w:cstheme="minorHAnsi"/>
          <w:noProof/>
        </w:rPr>
        <w:drawing>
          <wp:anchor distT="0" distB="0" distL="114300" distR="114300" simplePos="0" relativeHeight="251660288" behindDoc="1" locked="0" layoutInCell="1" allowOverlap="1" wp14:anchorId="01CE621D" wp14:editId="5F74292E">
            <wp:simplePos x="0" y="0"/>
            <wp:positionH relativeFrom="column">
              <wp:posOffset>4481109</wp:posOffset>
            </wp:positionH>
            <wp:positionV relativeFrom="paragraph">
              <wp:posOffset>189</wp:posOffset>
            </wp:positionV>
            <wp:extent cx="1276350" cy="862965"/>
            <wp:effectExtent l="0" t="0" r="0" b="0"/>
            <wp:wrapTight wrapText="bothSides">
              <wp:wrapPolygon edited="0">
                <wp:start x="0" y="0"/>
                <wp:lineTo x="0" y="20980"/>
                <wp:lineTo x="21278" y="20980"/>
                <wp:lineTo x="21278"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gress1-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350" cy="862965"/>
                    </a:xfrm>
                    <a:prstGeom prst="rect">
                      <a:avLst/>
                    </a:prstGeom>
                  </pic:spPr>
                </pic:pic>
              </a:graphicData>
            </a:graphic>
            <wp14:sizeRelH relativeFrom="margin">
              <wp14:pctWidth>0</wp14:pctWidth>
            </wp14:sizeRelH>
            <wp14:sizeRelV relativeFrom="margin">
              <wp14:pctHeight>0</wp14:pctHeight>
            </wp14:sizeRelV>
          </wp:anchor>
        </w:drawing>
      </w:r>
      <w:r w:rsidR="004D2465">
        <w:rPr>
          <w:szCs w:val="24"/>
        </w:rPr>
        <w:t xml:space="preserve">Handout </w:t>
      </w:r>
      <w:r w:rsidR="0007663C">
        <w:rPr>
          <w:szCs w:val="24"/>
        </w:rPr>
        <w:t>2</w:t>
      </w:r>
    </w:p>
    <w:p w14:paraId="31E85272" w14:textId="77777777" w:rsidR="004D2465" w:rsidRDefault="0007663C" w:rsidP="004D2465">
      <w:pPr>
        <w:pStyle w:val="TitleofHandout"/>
      </w:pPr>
      <w:r>
        <w:t>Congressional Findings: Excerpts from IDEA 2004’s Statute</w:t>
      </w:r>
    </w:p>
    <w:p w14:paraId="38AFBDF9" w14:textId="77777777" w:rsidR="004D2465" w:rsidRDefault="004D2465" w:rsidP="004D2465">
      <w:pPr>
        <w:pStyle w:val="TitleofHandout"/>
      </w:pPr>
    </w:p>
    <w:p w14:paraId="4917DC23" w14:textId="77777777" w:rsidR="0007663C" w:rsidRPr="008F28B1" w:rsidRDefault="008F28B1" w:rsidP="0007663C">
      <w:pPr>
        <w:pStyle w:val="MainText"/>
        <w:rPr>
          <w:rFonts w:asciiTheme="minorHAnsi" w:hAnsiTheme="minorHAnsi" w:cstheme="minorHAnsi"/>
          <w:sz w:val="22"/>
          <w:szCs w:val="22"/>
        </w:rPr>
      </w:pPr>
      <w:bookmarkStart w:id="0" w:name="_GoBack"/>
      <w:r w:rsidRPr="008F28B1">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553A683B" wp14:editId="2F08DB36">
                <wp:simplePos x="0" y="0"/>
                <wp:positionH relativeFrom="column">
                  <wp:posOffset>16064</wp:posOffset>
                </wp:positionH>
                <wp:positionV relativeFrom="paragraph">
                  <wp:posOffset>657070</wp:posOffset>
                </wp:positionV>
                <wp:extent cx="5428735" cy="0"/>
                <wp:effectExtent l="0" t="0" r="19685"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28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2299A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51.75pt" to="428.7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" strokecolor="black [3200]" strokeweight=".5pt">
                <v:stroke joinstyle="miter"/>
              </v:line>
            </w:pict>
          </mc:Fallback>
        </mc:AlternateContent>
      </w:r>
      <w:bookmarkEnd w:id="0"/>
      <w:r w:rsidR="0007663C" w:rsidRPr="008F28B1">
        <w:rPr>
          <w:rFonts w:asciiTheme="minorHAnsi" w:hAnsiTheme="minorHAnsi" w:cstheme="minorHAnsi"/>
          <w:sz w:val="22"/>
          <w:szCs w:val="22"/>
        </w:rPr>
        <w:t xml:space="preserve">When Congress passed the Individuals with Disabilities Education Improvement Act of 2004 (IDEA 2004), it began with “findings”—many of which express concerns over disproportionality in special education. This handout shares excerpts from those findings. </w:t>
      </w:r>
      <w:r w:rsidR="0007663C" w:rsidRPr="008F28B1">
        <w:rPr>
          <w:rFonts w:asciiTheme="minorHAnsi" w:hAnsiTheme="minorHAnsi" w:cstheme="minorHAnsi"/>
          <w:sz w:val="22"/>
          <w:szCs w:val="22"/>
        </w:rPr>
        <w:br/>
      </w:r>
    </w:p>
    <w:p w14:paraId="33650D06" w14:textId="77777777" w:rsidR="0007663C" w:rsidRPr="008F28B1" w:rsidRDefault="0007663C" w:rsidP="008F28B1">
      <w:pPr>
        <w:pStyle w:val="NoSpacing"/>
        <w:tabs>
          <w:tab w:val="left" w:pos="900"/>
        </w:tabs>
        <w:ind w:left="432" w:right="720"/>
      </w:pPr>
      <w:r w:rsidRPr="008F28B1">
        <w:t>“(c) FINDINGS.—Congress finds the following…</w:t>
      </w:r>
      <w:r w:rsidRPr="008F28B1">
        <w:tab/>
      </w:r>
    </w:p>
    <w:p w14:paraId="46B15EA5" w14:textId="77777777" w:rsidR="0007663C" w:rsidRPr="008F28B1" w:rsidRDefault="0007663C" w:rsidP="008F28B1">
      <w:pPr>
        <w:pStyle w:val="NoSpacing"/>
        <w:tabs>
          <w:tab w:val="left" w:pos="900"/>
        </w:tabs>
        <w:ind w:left="432" w:right="720"/>
        <w:rPr>
          <w:rFonts w:asciiTheme="minorHAnsi" w:hAnsiTheme="minorHAnsi" w:cstheme="minorHAnsi"/>
        </w:rPr>
      </w:pPr>
      <w:r w:rsidRPr="008F28B1">
        <w:rPr>
          <w:rFonts w:asciiTheme="minorHAnsi" w:hAnsiTheme="minorHAnsi" w:cstheme="minorHAnsi"/>
        </w:rPr>
        <w:t>‘‘(10)(A) The Federal Government must be responsive to the growing needs of an increasingly diverse society.</w:t>
      </w:r>
    </w:p>
    <w:p w14:paraId="1D88B403" w14:textId="77777777" w:rsidR="0007663C" w:rsidRPr="008F28B1" w:rsidRDefault="0007663C" w:rsidP="008F28B1">
      <w:pPr>
        <w:pStyle w:val="NoSpacing"/>
        <w:tabs>
          <w:tab w:val="left" w:pos="900"/>
        </w:tabs>
        <w:ind w:left="432" w:right="720"/>
        <w:rPr>
          <w:rFonts w:asciiTheme="minorHAnsi" w:hAnsiTheme="minorHAnsi" w:cstheme="minorHAnsi"/>
        </w:rPr>
      </w:pPr>
      <w:r w:rsidRPr="008F28B1">
        <w:rPr>
          <w:rFonts w:asciiTheme="minorHAnsi" w:hAnsiTheme="minorHAnsi" w:cstheme="minorHAnsi"/>
        </w:rPr>
        <w:t>‘‘(B) America’s ethnic profile is rapidly changing. In 2000, 1 of every 3 persons in the United States was a member of a minority group or was limited English proficient.</w:t>
      </w:r>
    </w:p>
    <w:p w14:paraId="206EA94A" w14:textId="77777777" w:rsidR="0007663C" w:rsidRPr="008F28B1" w:rsidRDefault="0007663C" w:rsidP="008F28B1">
      <w:pPr>
        <w:pStyle w:val="NoSpacing"/>
        <w:tabs>
          <w:tab w:val="left" w:pos="900"/>
        </w:tabs>
        <w:ind w:left="432" w:right="720"/>
        <w:rPr>
          <w:rFonts w:asciiTheme="minorHAnsi" w:hAnsiTheme="minorHAnsi" w:cstheme="minorHAnsi"/>
        </w:rPr>
      </w:pPr>
      <w:r w:rsidRPr="008F28B1">
        <w:rPr>
          <w:rFonts w:asciiTheme="minorHAnsi" w:hAnsiTheme="minorHAnsi" w:cstheme="minorHAnsi"/>
        </w:rPr>
        <w:t>‘‘(C) Minority children comprise an increasing percentage of public school students.</w:t>
      </w:r>
    </w:p>
    <w:p w14:paraId="50613953" w14:textId="77777777" w:rsidR="0007663C" w:rsidRPr="008F28B1" w:rsidRDefault="0007663C" w:rsidP="008F28B1">
      <w:pPr>
        <w:pStyle w:val="NoSpacing"/>
        <w:tabs>
          <w:tab w:val="left" w:pos="900"/>
        </w:tabs>
        <w:ind w:left="432" w:right="720"/>
        <w:rPr>
          <w:rFonts w:asciiTheme="minorHAnsi" w:hAnsiTheme="minorHAnsi" w:cstheme="minorHAnsi"/>
        </w:rPr>
      </w:pPr>
      <w:r w:rsidRPr="008F28B1">
        <w:rPr>
          <w:rFonts w:asciiTheme="minorHAnsi" w:hAnsiTheme="minorHAnsi" w:cstheme="minorHAnsi"/>
        </w:rPr>
        <w:t>‘‘(D) With such changing demographics, recruitment efforts for special education personnel should focus on increasing the participation of minorities in the teaching profession in order to provide appropriate role models with sufficient knowledge to address the special education needs of these students.</w:t>
      </w:r>
    </w:p>
    <w:p w14:paraId="3CE0FCE5" w14:textId="77777777" w:rsidR="0007663C" w:rsidRPr="008F28B1" w:rsidRDefault="0007663C" w:rsidP="008F28B1">
      <w:pPr>
        <w:pStyle w:val="NoSpacing"/>
        <w:tabs>
          <w:tab w:val="left" w:pos="900"/>
        </w:tabs>
        <w:ind w:left="432" w:right="720"/>
        <w:rPr>
          <w:rFonts w:asciiTheme="minorHAnsi" w:hAnsiTheme="minorHAnsi" w:cstheme="minorHAnsi"/>
        </w:rPr>
      </w:pPr>
      <w:r w:rsidRPr="008F28B1">
        <w:rPr>
          <w:rFonts w:asciiTheme="minorHAnsi" w:hAnsiTheme="minorHAnsi" w:cstheme="minorHAnsi"/>
        </w:rPr>
        <w:t>‘‘(11)(A) The limited English proficient population is the fastest growing in our Nation, and the growth is occurring in many parts of our Nation.</w:t>
      </w:r>
    </w:p>
    <w:p w14:paraId="1E52AB92" w14:textId="77777777" w:rsidR="0007663C" w:rsidRPr="008F28B1" w:rsidRDefault="0007663C" w:rsidP="008F28B1">
      <w:pPr>
        <w:pStyle w:val="NoSpacing"/>
        <w:tabs>
          <w:tab w:val="left" w:pos="900"/>
        </w:tabs>
        <w:ind w:left="432" w:right="720"/>
        <w:rPr>
          <w:rFonts w:asciiTheme="minorHAnsi" w:hAnsiTheme="minorHAnsi" w:cstheme="minorHAnsi"/>
        </w:rPr>
      </w:pPr>
      <w:r w:rsidRPr="008F28B1">
        <w:rPr>
          <w:rFonts w:asciiTheme="minorHAnsi" w:hAnsiTheme="minorHAnsi" w:cstheme="minorHAnsi"/>
        </w:rPr>
        <w:t>‘‘(B) Studies have documented apparent discrepancies in the levels of referral and placement of limited English proficient children in special education.</w:t>
      </w:r>
    </w:p>
    <w:p w14:paraId="648CB35D" w14:textId="77777777" w:rsidR="0007663C" w:rsidRPr="008F28B1" w:rsidRDefault="0007663C" w:rsidP="008F28B1">
      <w:pPr>
        <w:pStyle w:val="NoSpacing"/>
        <w:tabs>
          <w:tab w:val="left" w:pos="900"/>
        </w:tabs>
        <w:ind w:left="432" w:right="720"/>
        <w:rPr>
          <w:rFonts w:asciiTheme="minorHAnsi" w:hAnsiTheme="minorHAnsi" w:cstheme="minorHAnsi"/>
        </w:rPr>
      </w:pPr>
      <w:r w:rsidRPr="008F28B1">
        <w:rPr>
          <w:rFonts w:asciiTheme="minorHAnsi" w:hAnsiTheme="minorHAnsi" w:cstheme="minorHAnsi"/>
        </w:rPr>
        <w:t>‘‘(C) Such discrepancies pose a special challenge for special education in the referral of, assessment of, and provision of services for, our Nation’s students from non-English language backgrounds.</w:t>
      </w:r>
    </w:p>
    <w:p w14:paraId="04C9E0E3" w14:textId="77777777" w:rsidR="0007663C" w:rsidRPr="008F28B1" w:rsidRDefault="0007663C" w:rsidP="008F28B1">
      <w:pPr>
        <w:pStyle w:val="NoSpacing"/>
        <w:tabs>
          <w:tab w:val="left" w:pos="900"/>
        </w:tabs>
        <w:ind w:left="432" w:right="720"/>
        <w:rPr>
          <w:rFonts w:asciiTheme="minorHAnsi" w:hAnsiTheme="minorHAnsi" w:cstheme="minorHAnsi"/>
        </w:rPr>
      </w:pPr>
      <w:r w:rsidRPr="008F28B1">
        <w:rPr>
          <w:rFonts w:asciiTheme="minorHAnsi" w:hAnsiTheme="minorHAnsi" w:cstheme="minorHAnsi"/>
        </w:rPr>
        <w:t>‘‘(12)(A) Greater efforts are needed to prevent the intensification of problems connected with mislabeling and high dropout rates among minority children with disabilities.</w:t>
      </w:r>
    </w:p>
    <w:p w14:paraId="4FC51FBC" w14:textId="77777777" w:rsidR="0007663C" w:rsidRPr="008F28B1" w:rsidRDefault="0007663C" w:rsidP="008F28B1">
      <w:pPr>
        <w:pStyle w:val="NoSpacing"/>
        <w:tabs>
          <w:tab w:val="left" w:pos="900"/>
        </w:tabs>
        <w:ind w:left="432" w:right="720"/>
        <w:rPr>
          <w:rFonts w:asciiTheme="minorHAnsi" w:hAnsiTheme="minorHAnsi" w:cstheme="minorHAnsi"/>
        </w:rPr>
      </w:pPr>
      <w:r w:rsidRPr="008F28B1">
        <w:rPr>
          <w:rFonts w:asciiTheme="minorHAnsi" w:hAnsiTheme="minorHAnsi" w:cstheme="minorHAnsi"/>
        </w:rPr>
        <w:t>‘‘(B) More minority children continue to be served in special education than would be expected from the percentage of minority students in the general school population.</w:t>
      </w:r>
    </w:p>
    <w:p w14:paraId="585F3CC6" w14:textId="77777777" w:rsidR="0007663C" w:rsidRPr="008F28B1" w:rsidRDefault="0007663C" w:rsidP="008F28B1">
      <w:pPr>
        <w:pStyle w:val="NoSpacing"/>
        <w:tabs>
          <w:tab w:val="left" w:pos="900"/>
        </w:tabs>
        <w:ind w:left="432" w:right="720"/>
        <w:rPr>
          <w:rFonts w:asciiTheme="minorHAnsi" w:hAnsiTheme="minorHAnsi" w:cstheme="minorHAnsi"/>
        </w:rPr>
      </w:pPr>
      <w:r w:rsidRPr="008F28B1">
        <w:rPr>
          <w:rFonts w:asciiTheme="minorHAnsi" w:hAnsiTheme="minorHAnsi" w:cstheme="minorHAnsi"/>
        </w:rPr>
        <w:t>‘‘(C) African-American children are identified as having mental retardation and emotional disturbance at rates greater than their White counterparts.</w:t>
      </w:r>
    </w:p>
    <w:p w14:paraId="58AB4AB9" w14:textId="77777777" w:rsidR="0007663C" w:rsidRPr="008F28B1" w:rsidRDefault="0007663C" w:rsidP="008F28B1">
      <w:pPr>
        <w:pStyle w:val="NoSpacing"/>
        <w:tabs>
          <w:tab w:val="left" w:pos="900"/>
        </w:tabs>
        <w:ind w:left="432" w:right="720"/>
        <w:rPr>
          <w:rFonts w:asciiTheme="minorHAnsi" w:hAnsiTheme="minorHAnsi" w:cstheme="minorHAnsi"/>
        </w:rPr>
      </w:pPr>
      <w:r w:rsidRPr="008F28B1">
        <w:rPr>
          <w:rFonts w:asciiTheme="minorHAnsi" w:hAnsiTheme="minorHAnsi" w:cstheme="minorHAnsi"/>
        </w:rPr>
        <w:t>‘‘(D) In the 1998–1999 school year, African-American children represented just 14.8 percent of the population aged 6 through 21, but comprised 20.2 percent of all children with disabilities.</w:t>
      </w:r>
    </w:p>
    <w:p w14:paraId="3E5E9065" w14:textId="77777777" w:rsidR="0007663C" w:rsidRPr="008F28B1" w:rsidRDefault="0007663C" w:rsidP="008F28B1">
      <w:pPr>
        <w:pStyle w:val="NoSpacing"/>
        <w:tabs>
          <w:tab w:val="left" w:pos="900"/>
        </w:tabs>
        <w:ind w:left="432" w:right="720"/>
        <w:rPr>
          <w:rFonts w:asciiTheme="minorHAnsi" w:hAnsiTheme="minorHAnsi" w:cstheme="minorHAnsi"/>
        </w:rPr>
      </w:pPr>
      <w:r w:rsidRPr="008F28B1">
        <w:rPr>
          <w:rFonts w:asciiTheme="minorHAnsi" w:hAnsiTheme="minorHAnsi" w:cstheme="minorHAnsi"/>
        </w:rPr>
        <w:t>‘‘(E) Studies have found that schools with predominately White students and teachers have placed disproportionately high numbers of their minority students into special education.”</w:t>
      </w:r>
    </w:p>
    <w:sectPr w:rsidR="0007663C" w:rsidRPr="008F28B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80853" w14:textId="77777777" w:rsidR="006106E4" w:rsidRDefault="006106E4" w:rsidP="004D2465">
      <w:r>
        <w:separator/>
      </w:r>
    </w:p>
  </w:endnote>
  <w:endnote w:type="continuationSeparator" w:id="0">
    <w:p w14:paraId="3BD4252E" w14:textId="77777777" w:rsidR="006106E4" w:rsidRDefault="006106E4" w:rsidP="004D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14963" w14:textId="77777777" w:rsidR="004D2465" w:rsidRDefault="004D2465">
    <w:pPr>
      <w:pStyle w:val="Footer"/>
      <w:rPr>
        <w:rFonts w:asciiTheme="minorHAnsi" w:hAnsiTheme="minorHAnsi" w:cstheme="minorHAnsi"/>
        <w:i/>
      </w:rPr>
    </w:pPr>
    <w:r>
      <w:rPr>
        <w:rFonts w:asciiTheme="minorHAnsi" w:hAnsiTheme="minorHAnsi" w:cstheme="minorHAnsi"/>
        <w:i/>
        <w:noProof/>
      </w:rPr>
      <mc:AlternateContent>
        <mc:Choice Requires="wps">
          <w:drawing>
            <wp:anchor distT="0" distB="0" distL="114300" distR="114300" simplePos="0" relativeHeight="251659264" behindDoc="0" locked="0" layoutInCell="1" allowOverlap="1" wp14:anchorId="4B2A4C61" wp14:editId="065CBE9A">
              <wp:simplePos x="0" y="0"/>
              <wp:positionH relativeFrom="column">
                <wp:posOffset>19050</wp:posOffset>
              </wp:positionH>
              <wp:positionV relativeFrom="paragraph">
                <wp:posOffset>93345</wp:posOffset>
              </wp:positionV>
              <wp:extent cx="5924550" cy="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2A483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7.35pt" to="46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" strokecolor="black [3200]" strokeweight=".5pt">
              <v:stroke joinstyle="miter"/>
            </v:line>
          </w:pict>
        </mc:Fallback>
      </mc:AlternateContent>
    </w:r>
  </w:p>
  <w:p w14:paraId="16293ED9" w14:textId="77777777" w:rsidR="004D2465" w:rsidRPr="004D2465" w:rsidRDefault="004D2465">
    <w:pPr>
      <w:pStyle w:val="Footer"/>
      <w:rPr>
        <w:rFonts w:asciiTheme="minorHAnsi" w:hAnsiTheme="minorHAnsi" w:cstheme="minorHAnsi"/>
      </w:rPr>
    </w:pPr>
    <w:r w:rsidRPr="004D2465">
      <w:rPr>
        <w:rFonts w:asciiTheme="minorHAnsi" w:hAnsiTheme="minorHAnsi" w:cstheme="minorHAnsi"/>
        <w:i/>
      </w:rPr>
      <w:t>Disproportionality in Special Education</w:t>
    </w:r>
    <w:r w:rsidRPr="004D2465">
      <w:rPr>
        <w:rFonts w:asciiTheme="minorHAnsi" w:hAnsiTheme="minorHAnsi" w:cstheme="minorHAnsi"/>
      </w:rPr>
      <w:t xml:space="preserve"> | Handout </w:t>
    </w:r>
    <w:r w:rsidR="0007663C">
      <w:rPr>
        <w:rFonts w:asciiTheme="minorHAnsi" w:hAnsiTheme="minorHAnsi" w:cstheme="minorHAnsi"/>
      </w:rPr>
      <w:t>2</w:t>
    </w:r>
    <w:r w:rsidRPr="004D2465">
      <w:rPr>
        <w:rFonts w:asciiTheme="minorHAnsi" w:hAnsiTheme="minorHAnsi" w:cstheme="minorHAnsi"/>
      </w:rPr>
      <w:t>:</w:t>
    </w:r>
    <w:r w:rsidR="0007663C">
      <w:rPr>
        <w:rFonts w:asciiTheme="minorHAnsi" w:hAnsiTheme="minorHAnsi" w:cstheme="minorHAnsi"/>
      </w:rPr>
      <w:t xml:space="preserve"> Congressional Findings</w:t>
    </w:r>
    <w:r w:rsidRPr="004D2465">
      <w:rPr>
        <w:rFonts w:asciiTheme="minorHAnsi" w:hAnsiTheme="minorHAnsi" w:cstheme="minorHAnsi"/>
      </w:rPr>
      <w:tab/>
      <w:t>p</w:t>
    </w:r>
    <w:sdt>
      <w:sdtPr>
        <w:rPr>
          <w:rFonts w:asciiTheme="minorHAnsi" w:hAnsiTheme="minorHAnsi" w:cstheme="minorHAnsi"/>
        </w:rPr>
        <w:id w:val="30159152"/>
        <w:docPartObj>
          <w:docPartGallery w:val="Page Numbers (Bottom of Page)"/>
          <w:docPartUnique/>
        </w:docPartObj>
      </w:sdtPr>
      <w:sdtEndPr>
        <w:rPr>
          <w:noProof/>
        </w:rPr>
      </w:sdtEndPr>
      <w:sdtContent>
        <w:r w:rsidRPr="004D2465">
          <w:rPr>
            <w:rFonts w:asciiTheme="minorHAnsi" w:hAnsiTheme="minorHAnsi" w:cstheme="minorHAnsi"/>
          </w:rPr>
          <w:t xml:space="preserve">age | </w:t>
        </w:r>
        <w:r w:rsidRPr="004D2465">
          <w:rPr>
            <w:rFonts w:asciiTheme="minorHAnsi" w:hAnsiTheme="minorHAnsi" w:cstheme="minorHAnsi"/>
          </w:rPr>
          <w:fldChar w:fldCharType="begin"/>
        </w:r>
        <w:r w:rsidRPr="004D2465">
          <w:rPr>
            <w:rFonts w:asciiTheme="minorHAnsi" w:hAnsiTheme="minorHAnsi" w:cstheme="minorHAnsi"/>
          </w:rPr>
          <w:instrText xml:space="preserve"> PAGE   \* MERGEFORMAT </w:instrText>
        </w:r>
        <w:r w:rsidRPr="004D2465">
          <w:rPr>
            <w:rFonts w:asciiTheme="minorHAnsi" w:hAnsiTheme="minorHAnsi" w:cstheme="minorHAnsi"/>
          </w:rPr>
          <w:fldChar w:fldCharType="separate"/>
        </w:r>
        <w:r w:rsidR="008A0AB4">
          <w:rPr>
            <w:rFonts w:asciiTheme="minorHAnsi" w:hAnsiTheme="minorHAnsi" w:cstheme="minorHAnsi"/>
            <w:noProof/>
          </w:rPr>
          <w:t>1</w:t>
        </w:r>
        <w:r w:rsidRPr="004D2465">
          <w:rPr>
            <w:rFonts w:asciiTheme="minorHAnsi" w:hAnsiTheme="minorHAnsi" w:cstheme="minorHAnsi"/>
            <w:noProof/>
          </w:rPr>
          <w:fldChar w:fldCharType="end"/>
        </w:r>
      </w:sdtContent>
    </w:sdt>
  </w:p>
  <w:p w14:paraId="475CC32E" w14:textId="77777777" w:rsidR="004D2465" w:rsidRPr="004D2465" w:rsidRDefault="004D2465">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885F7" w14:textId="77777777" w:rsidR="006106E4" w:rsidRDefault="006106E4" w:rsidP="004D2465">
      <w:r>
        <w:separator/>
      </w:r>
    </w:p>
  </w:footnote>
  <w:footnote w:type="continuationSeparator" w:id="0">
    <w:p w14:paraId="5DF82ECB" w14:textId="77777777" w:rsidR="006106E4" w:rsidRDefault="006106E4" w:rsidP="004D2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B54D0"/>
    <w:multiLevelType w:val="hybridMultilevel"/>
    <w:tmpl w:val="00AE60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D567C"/>
    <w:multiLevelType w:val="hybridMultilevel"/>
    <w:tmpl w:val="3D52F1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46DBD"/>
    <w:multiLevelType w:val="hybridMultilevel"/>
    <w:tmpl w:val="608EAE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8C4B73"/>
    <w:multiLevelType w:val="hybridMultilevel"/>
    <w:tmpl w:val="9EDA89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E560E"/>
    <w:multiLevelType w:val="hybridMultilevel"/>
    <w:tmpl w:val="59AC76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465"/>
    <w:rsid w:val="0007663C"/>
    <w:rsid w:val="001E29F1"/>
    <w:rsid w:val="0039217D"/>
    <w:rsid w:val="003C00B2"/>
    <w:rsid w:val="00480130"/>
    <w:rsid w:val="004D09AB"/>
    <w:rsid w:val="004D2465"/>
    <w:rsid w:val="006106E4"/>
    <w:rsid w:val="00763BF3"/>
    <w:rsid w:val="00846F65"/>
    <w:rsid w:val="008A0AB4"/>
    <w:rsid w:val="008F28B1"/>
    <w:rsid w:val="00990E34"/>
    <w:rsid w:val="00AD5385"/>
    <w:rsid w:val="00B40544"/>
    <w:rsid w:val="00B954EB"/>
    <w:rsid w:val="00D130C0"/>
    <w:rsid w:val="00D3537D"/>
    <w:rsid w:val="00DF38D5"/>
    <w:rsid w:val="00E661B2"/>
    <w:rsid w:val="00FA3656"/>
    <w:rsid w:val="00FD4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0095C"/>
  <w15:chartTrackingRefBased/>
  <w15:docId w15:val="{09BE6796-E548-496A-BC6F-CD2278B8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6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
    <w:name w:val="Bullet Text"/>
    <w:basedOn w:val="Normal"/>
    <w:rsid w:val="004D2465"/>
    <w:pPr>
      <w:spacing w:after="240"/>
      <w:ind w:left="576" w:hanging="576"/>
    </w:pPr>
    <w:rPr>
      <w:sz w:val="24"/>
      <w:szCs w:val="24"/>
    </w:rPr>
  </w:style>
  <w:style w:type="paragraph" w:customStyle="1" w:styleId="MainText">
    <w:name w:val="MainText"/>
    <w:basedOn w:val="Normal"/>
    <w:link w:val="MainTextChar"/>
    <w:rsid w:val="004D2465"/>
    <w:pPr>
      <w:spacing w:after="240"/>
    </w:pPr>
    <w:rPr>
      <w:sz w:val="24"/>
      <w:szCs w:val="24"/>
    </w:rPr>
  </w:style>
  <w:style w:type="paragraph" w:customStyle="1" w:styleId="TitleofHandout">
    <w:name w:val="Title of Handout"/>
    <w:rsid w:val="004D2465"/>
    <w:pPr>
      <w:spacing w:after="120" w:line="240" w:lineRule="auto"/>
    </w:pPr>
    <w:rPr>
      <w:rFonts w:ascii="Trebuchet MS" w:eastAsia="Times New Roman" w:hAnsi="Trebuchet MS" w:cs="Times New Roman"/>
      <w:b/>
      <w:bCs/>
      <w:sz w:val="24"/>
    </w:rPr>
  </w:style>
  <w:style w:type="character" w:customStyle="1" w:styleId="MainTextChar">
    <w:name w:val="MainText Char"/>
    <w:link w:val="MainText"/>
    <w:rsid w:val="004D246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2465"/>
    <w:pPr>
      <w:tabs>
        <w:tab w:val="center" w:pos="4680"/>
        <w:tab w:val="right" w:pos="9360"/>
      </w:tabs>
    </w:pPr>
  </w:style>
  <w:style w:type="character" w:customStyle="1" w:styleId="HeaderChar">
    <w:name w:val="Header Char"/>
    <w:basedOn w:val="DefaultParagraphFont"/>
    <w:link w:val="Header"/>
    <w:uiPriority w:val="99"/>
    <w:rsid w:val="004D246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D2465"/>
    <w:pPr>
      <w:tabs>
        <w:tab w:val="center" w:pos="4680"/>
        <w:tab w:val="right" w:pos="9360"/>
      </w:tabs>
    </w:pPr>
  </w:style>
  <w:style w:type="character" w:customStyle="1" w:styleId="FooterChar">
    <w:name w:val="Footer Char"/>
    <w:basedOn w:val="DefaultParagraphFont"/>
    <w:link w:val="Footer"/>
    <w:uiPriority w:val="99"/>
    <w:rsid w:val="004D2465"/>
    <w:rPr>
      <w:rFonts w:ascii="Times New Roman" w:eastAsia="Times New Roman" w:hAnsi="Times New Roman" w:cs="Times New Roman"/>
      <w:sz w:val="20"/>
      <w:szCs w:val="20"/>
    </w:rPr>
  </w:style>
  <w:style w:type="paragraph" w:styleId="NoSpacing">
    <w:name w:val="No Spacing"/>
    <w:link w:val="NoSpacingChar"/>
    <w:uiPriority w:val="1"/>
    <w:qFormat/>
    <w:rsid w:val="0007663C"/>
    <w:pPr>
      <w:tabs>
        <w:tab w:val="left" w:pos="432"/>
        <w:tab w:val="left" w:pos="4320"/>
      </w:tabs>
      <w:spacing w:after="240" w:line="240" w:lineRule="auto"/>
    </w:pPr>
    <w:rPr>
      <w:rFonts w:ascii="Candara" w:hAnsi="Candara"/>
    </w:rPr>
  </w:style>
  <w:style w:type="character" w:styleId="Hyperlink">
    <w:name w:val="Hyperlink"/>
    <w:basedOn w:val="DefaultParagraphFont"/>
    <w:uiPriority w:val="99"/>
    <w:unhideWhenUsed/>
    <w:rsid w:val="0007663C"/>
    <w:rPr>
      <w:color w:val="0563C1" w:themeColor="hyperlink"/>
      <w:u w:val="single"/>
    </w:rPr>
  </w:style>
  <w:style w:type="paragraph" w:styleId="EndnoteText">
    <w:name w:val="endnote text"/>
    <w:basedOn w:val="Normal"/>
    <w:link w:val="EndnoteTextChar"/>
    <w:uiPriority w:val="99"/>
    <w:unhideWhenUsed/>
    <w:rsid w:val="0007663C"/>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07663C"/>
    <w:rPr>
      <w:sz w:val="20"/>
      <w:szCs w:val="20"/>
    </w:rPr>
  </w:style>
  <w:style w:type="character" w:styleId="EndnoteReference">
    <w:name w:val="endnote reference"/>
    <w:basedOn w:val="DefaultParagraphFont"/>
    <w:uiPriority w:val="99"/>
    <w:semiHidden/>
    <w:unhideWhenUsed/>
    <w:rsid w:val="0007663C"/>
    <w:rPr>
      <w:vertAlign w:val="superscript"/>
    </w:rPr>
  </w:style>
  <w:style w:type="paragraph" w:customStyle="1" w:styleId="Header-Regular1">
    <w:name w:val="Header-Regular1"/>
    <w:basedOn w:val="NoSpacing"/>
    <w:next w:val="NoSpacing"/>
    <w:link w:val="Header-Regular1Char"/>
    <w:qFormat/>
    <w:rsid w:val="0007663C"/>
    <w:pPr>
      <w:spacing w:before="240" w:after="0"/>
    </w:pPr>
    <w:rPr>
      <w:b/>
    </w:rPr>
  </w:style>
  <w:style w:type="character" w:customStyle="1" w:styleId="NoSpacingChar">
    <w:name w:val="No Spacing Char"/>
    <w:basedOn w:val="DefaultParagraphFont"/>
    <w:link w:val="NoSpacing"/>
    <w:uiPriority w:val="1"/>
    <w:rsid w:val="0007663C"/>
    <w:rPr>
      <w:rFonts w:ascii="Candara" w:hAnsi="Candara"/>
    </w:rPr>
  </w:style>
  <w:style w:type="character" w:customStyle="1" w:styleId="Header-Regular1Char">
    <w:name w:val="Header-Regular1 Char"/>
    <w:basedOn w:val="NoSpacingChar"/>
    <w:link w:val="Header-Regular1"/>
    <w:rsid w:val="0007663C"/>
    <w:rPr>
      <w:rFonts w:ascii="Candara" w:hAnsi="Candar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11A4A-5F1A-45E1-93FE-EC4B31C2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Kupper</dc:creator>
  <cp:keywords/>
  <dc:description/>
  <cp:lastModifiedBy>Lisa Kupper</cp:lastModifiedBy>
  <cp:revision>9</cp:revision>
  <dcterms:created xsi:type="dcterms:W3CDTF">2017-09-02T18:25:00Z</dcterms:created>
  <dcterms:modified xsi:type="dcterms:W3CDTF">2020-11-05T20:22:00Z</dcterms:modified>
</cp:coreProperties>
</file>