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7DE6" w14:textId="77777777" w:rsidR="002622E5" w:rsidRDefault="00A738AA" w:rsidP="00181D2A">
      <w:pPr>
        <w:pStyle w:val="Title"/>
        <w:ind w:right="-36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7F62701B">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4EAFBCCB" id="Group 6" o:spid="_x0000_s1026" alt="&quot;&quot;" style="position:absolute;margin-left:-5.95pt;margin-top:.3pt;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275A5B">
        <w:rPr>
          <w:sz w:val="48"/>
          <w:szCs w:val="48"/>
        </w:rPr>
        <w:t>Right to Receive</w:t>
      </w:r>
      <w:r w:rsidR="002622E5">
        <w:rPr>
          <w:sz w:val="48"/>
          <w:szCs w:val="48"/>
        </w:rPr>
        <w:t xml:space="preserve"> a Complete</w:t>
      </w:r>
    </w:p>
    <w:p w14:paraId="63855C8C" w14:textId="5ECBAE00" w:rsidR="00361358" w:rsidRPr="002B2C13" w:rsidRDefault="002622E5" w:rsidP="00181D2A">
      <w:pPr>
        <w:pStyle w:val="Title"/>
        <w:ind w:right="-360"/>
        <w:jc w:val="center"/>
        <w:rPr>
          <w:sz w:val="48"/>
          <w:szCs w:val="48"/>
        </w:rPr>
      </w:pPr>
      <w:r>
        <w:rPr>
          <w:sz w:val="48"/>
          <w:szCs w:val="48"/>
        </w:rPr>
        <w:t xml:space="preserve">Explanation of IDEA’s </w:t>
      </w:r>
      <w:r>
        <w:rPr>
          <w:sz w:val="48"/>
          <w:szCs w:val="48"/>
        </w:rPr>
        <w:br/>
        <w:t>Procedural Safeg</w:t>
      </w:r>
      <w:r w:rsidR="00AB684E">
        <w:rPr>
          <w:sz w:val="48"/>
          <w:szCs w:val="48"/>
        </w:rPr>
        <w:t>u</w:t>
      </w:r>
      <w:r>
        <w:rPr>
          <w:sz w:val="48"/>
          <w:szCs w:val="48"/>
        </w:rPr>
        <w:t>ards</w:t>
      </w:r>
    </w:p>
    <w:p w14:paraId="703171FC" w14:textId="7781C23D" w:rsidR="00FF049B" w:rsidRDefault="00D52D4A" w:rsidP="00181D2A">
      <w:pPr>
        <w:spacing w:before="120"/>
        <w:ind w:right="-360"/>
        <w:jc w:val="center"/>
        <w:rPr>
          <w:rFonts w:cstheme="minorHAnsi"/>
          <w:sz w:val="28"/>
          <w:szCs w:val="28"/>
        </w:rPr>
      </w:pPr>
      <w:r>
        <w:rPr>
          <w:rFonts w:cstheme="minorHAnsi"/>
        </w:rPr>
        <w:t xml:space="preserve">A handout in CPIR’s module </w:t>
      </w:r>
      <w:r w:rsidR="002B2C13" w:rsidRPr="00762FF5">
        <w:rPr>
          <w:rFonts w:cstheme="minorHAnsi"/>
          <w:i/>
          <w:iCs/>
        </w:rPr>
        <w:t xml:space="preserve">Right to </w:t>
      </w:r>
      <w:r w:rsidR="00A75FC3">
        <w:rPr>
          <w:rFonts w:cstheme="minorHAnsi"/>
          <w:i/>
          <w:iCs/>
        </w:rPr>
        <w:t xml:space="preserve">Receive Notice </w:t>
      </w:r>
      <w:r w:rsidR="00A75FC3">
        <w:rPr>
          <w:rFonts w:cstheme="minorHAnsi"/>
          <w:i/>
          <w:iCs/>
        </w:rPr>
        <w:br/>
        <w:t>and to Participate in Meetings</w:t>
      </w:r>
      <w:r w:rsidR="00FF049B">
        <w:rPr>
          <w:rFonts w:cstheme="minorHAnsi"/>
          <w:i/>
          <w:iCs/>
          <w:sz w:val="24"/>
          <w:szCs w:val="24"/>
        </w:rPr>
        <w:br/>
      </w:r>
      <w:r w:rsidR="00FF049B">
        <w:rPr>
          <w:noProof/>
        </w:rPr>
        <mc:AlternateContent>
          <mc:Choice Requires="wps">
            <w:drawing>
              <wp:inline distT="0" distB="0" distL="0" distR="0" wp14:anchorId="6B246EFF" wp14:editId="6FC315D5">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D48E6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" strokecolor="#747070 [1614]" strokeweight="1.5pt">
                <v:stroke joinstyle="miter"/>
                <v:shadow on="t" color="black" opacity="26214f" origin="-.5,-.5" offset=".74836mm,.74836mm"/>
                <w10:anchorlock/>
              </v:line>
            </w:pict>
          </mc:Fallback>
        </mc:AlternateContent>
      </w:r>
    </w:p>
    <w:p w14:paraId="33EECC68" w14:textId="567410C4" w:rsidR="00FF049B" w:rsidRDefault="00AB684E" w:rsidP="00181D2A">
      <w:pPr>
        <w:pStyle w:val="NoSpacing"/>
        <w:ind w:left="4410" w:right="270"/>
      </w:pPr>
      <w:r>
        <w:t>August 202</w:t>
      </w:r>
      <w:r w:rsidR="005F109F">
        <w:t>1</w:t>
      </w:r>
      <w:r w:rsidR="00EB28DC">
        <w:t xml:space="preserve"> </w:t>
      </w:r>
      <w:r w:rsidR="00FF049B" w:rsidRPr="00FF049B">
        <w:t xml:space="preserve"> | </w:t>
      </w:r>
      <w:r w:rsidR="00FF049B" w:rsidRPr="00FF049B">
        <w:rPr>
          <w:i/>
          <w:iCs/>
        </w:rPr>
        <w:t>Additional eLearning Hub Resource</w:t>
      </w:r>
      <w:r w:rsidR="00FF049B" w:rsidRPr="00FF049B">
        <w:t xml:space="preserve"> </w:t>
      </w:r>
      <w:r w:rsidR="00FF049B" w:rsidRPr="00FF049B">
        <w:br/>
        <w:t>from the Center for Parent Information and Resources</w:t>
      </w:r>
      <w:r w:rsidR="00FF049B" w:rsidRPr="00FF049B">
        <w:br/>
      </w:r>
      <w:hyperlink r:id="rId13" w:history="1">
        <w:r w:rsidR="00B015AE" w:rsidRPr="004A1E05">
          <w:rPr>
            <w:rStyle w:val="Hyperlink"/>
          </w:rPr>
          <w:t>https://www.parentcenterhub.org/notice-safeguards/</w:t>
        </w:r>
      </w:hyperlink>
    </w:p>
    <w:p w14:paraId="410B5812" w14:textId="77777777" w:rsidR="00FD6A12" w:rsidRPr="00FF049B" w:rsidRDefault="00FD6A12" w:rsidP="00181D2A">
      <w:pPr>
        <w:pStyle w:val="NoSpacing"/>
        <w:ind w:left="5040" w:right="-360"/>
      </w:pPr>
    </w:p>
    <w:p w14:paraId="392BDD75" w14:textId="4B53EF83" w:rsidR="002B2C13" w:rsidRDefault="002B2C13" w:rsidP="00181D2A">
      <w:pPr>
        <w:ind w:right="-360"/>
        <w:rPr>
          <w:rFonts w:cstheme="minorHAnsi"/>
          <w:i/>
          <w:iCs/>
        </w:rPr>
      </w:pPr>
    </w:p>
    <w:p w14:paraId="426CD7B7" w14:textId="019B16DC" w:rsidR="009B624E" w:rsidRDefault="004A1E05" w:rsidP="00181D2A">
      <w:pPr>
        <w:pStyle w:val="NoSpacing"/>
        <w:ind w:left="540" w:right="-360"/>
      </w:pPr>
      <w:r w:rsidRPr="003E2C36">
        <w:rPr>
          <w:sz w:val="40"/>
          <w:szCs w:val="40"/>
        </w:rPr>
        <w:t>At least one time a year</w:t>
      </w:r>
      <w:r w:rsidR="00E20217">
        <w:rPr>
          <w:sz w:val="40"/>
          <w:szCs w:val="40"/>
        </w:rPr>
        <w:t>…</w:t>
      </w:r>
      <w:r w:rsidRPr="004A1E05">
        <w:t xml:space="preserve"> </w:t>
      </w:r>
    </w:p>
    <w:p w14:paraId="6BD23BD8" w14:textId="2E23EB05" w:rsidR="003E2C36" w:rsidRDefault="00E20217" w:rsidP="00945CB8">
      <w:pPr>
        <w:pStyle w:val="NoSpacing"/>
        <w:ind w:left="540" w:right="90"/>
      </w:pPr>
      <w:r>
        <w:t>…t</w:t>
      </w:r>
      <w:r w:rsidR="004A1E05" w:rsidRPr="004A1E05">
        <w:t>he parents of a child with a disability must receive from the school system a complete explanation of all the procedural safeguards available to them, as parents, under IDEA. This explanation is called the “Procedural Safeguards Notice.”</w:t>
      </w:r>
      <w:r w:rsidR="009B624E">
        <w:t xml:space="preserve"> Let us </w:t>
      </w:r>
      <w:r w:rsidR="004A1E05" w:rsidRPr="004A1E05">
        <w:t>examine the purpose and contents of this notice, the times that parents will receive it, and other aspects of this important safeguard.</w:t>
      </w:r>
    </w:p>
    <w:p w14:paraId="12F88F3F" w14:textId="501E0665" w:rsidR="008D704C" w:rsidRDefault="008D704C" w:rsidP="00945CB8">
      <w:pPr>
        <w:pStyle w:val="NoSpacing"/>
        <w:ind w:left="540" w:right="90"/>
      </w:pPr>
    </w:p>
    <w:p w14:paraId="1F8264FE" w14:textId="4688ADE0" w:rsidR="008D704C" w:rsidRPr="00F35DD6" w:rsidRDefault="008D704C" w:rsidP="00945CB8">
      <w:pPr>
        <w:pStyle w:val="NoSpacing"/>
        <w:ind w:left="540" w:right="90"/>
        <w:rPr>
          <w:b/>
          <w:bCs/>
          <w:sz w:val="28"/>
          <w:szCs w:val="28"/>
        </w:rPr>
      </w:pPr>
      <w:r w:rsidRPr="00F35DD6">
        <w:rPr>
          <w:b/>
          <w:bCs/>
          <w:sz w:val="28"/>
          <w:szCs w:val="28"/>
        </w:rPr>
        <w:t>What is the purpose of the procedural safeguards notice?</w:t>
      </w:r>
    </w:p>
    <w:p w14:paraId="68693A5D" w14:textId="347AC58C" w:rsidR="008D704C" w:rsidRDefault="008D704C" w:rsidP="00945CB8">
      <w:pPr>
        <w:pStyle w:val="NoSpacing"/>
        <w:ind w:left="540" w:right="90"/>
      </w:pPr>
      <w:r>
        <w:t>The purpose of the procedural safeguards notice is simple: to inform parents completely about the procedural safeguards available under IDEA. These represent their rights as parents and the protections they have—and their child as well—under the law and its implementing regulations.</w:t>
      </w:r>
    </w:p>
    <w:p w14:paraId="27F0F6AD" w14:textId="0C549969" w:rsidR="008D704C" w:rsidRDefault="008D704C" w:rsidP="00945CB8">
      <w:pPr>
        <w:pStyle w:val="NoSpacing"/>
        <w:ind w:left="540" w:right="90"/>
      </w:pPr>
    </w:p>
    <w:p w14:paraId="4124B088" w14:textId="4FED4370" w:rsidR="008D704C" w:rsidRPr="00E20217" w:rsidRDefault="008D704C" w:rsidP="00945CB8">
      <w:pPr>
        <w:pStyle w:val="NoSpacing"/>
        <w:ind w:left="540" w:right="90"/>
        <w:rPr>
          <w:b/>
          <w:bCs/>
          <w:sz w:val="28"/>
          <w:szCs w:val="28"/>
        </w:rPr>
      </w:pPr>
      <w:r w:rsidRPr="00E20217">
        <w:rPr>
          <w:b/>
          <w:bCs/>
          <w:sz w:val="28"/>
          <w:szCs w:val="28"/>
        </w:rPr>
        <w:t>When can you expect to receive the procedural safeguards notice?</w:t>
      </w:r>
    </w:p>
    <w:p w14:paraId="3795386F" w14:textId="1331F2A6" w:rsidR="008D704C" w:rsidRDefault="008D704C" w:rsidP="00945CB8">
      <w:pPr>
        <w:pStyle w:val="NoSpacing"/>
        <w:ind w:left="540" w:right="90"/>
      </w:pPr>
      <w:r>
        <w:t>IDEA states that schools must send the procedural safeguards notice to the parents only one time a school year, except that schools must also give a copy to parents:</w:t>
      </w:r>
    </w:p>
    <w:p w14:paraId="72A2CACB" w14:textId="2AE81E3E" w:rsidR="008D704C" w:rsidRDefault="00B33DC6" w:rsidP="00945CB8">
      <w:pPr>
        <w:pStyle w:val="NoSpacing"/>
        <w:ind w:left="540" w:right="90"/>
      </w:pPr>
      <w:r>
        <w:rPr>
          <w:b/>
          <w:bCs/>
          <w:noProof/>
          <w:sz w:val="28"/>
          <w:szCs w:val="28"/>
        </w:rPr>
        <w:drawing>
          <wp:anchor distT="0" distB="0" distL="114300" distR="114300" simplePos="0" relativeHeight="251671552" behindDoc="0" locked="0" layoutInCell="1" allowOverlap="1" wp14:anchorId="2B66CD63" wp14:editId="51C7F72E">
            <wp:simplePos x="0" y="0"/>
            <wp:positionH relativeFrom="column">
              <wp:posOffset>5031243</wp:posOffset>
            </wp:positionH>
            <wp:positionV relativeFrom="paragraph">
              <wp:posOffset>139175</wp:posOffset>
            </wp:positionV>
            <wp:extent cx="1025525" cy="1152525"/>
            <wp:effectExtent l="0" t="0" r="317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5525" cy="1152525"/>
                    </a:xfrm>
                    <a:prstGeom prst="rect">
                      <a:avLst/>
                    </a:prstGeom>
                  </pic:spPr>
                </pic:pic>
              </a:graphicData>
            </a:graphic>
            <wp14:sizeRelH relativeFrom="margin">
              <wp14:pctWidth>0</wp14:pctWidth>
            </wp14:sizeRelH>
            <wp14:sizeRelV relativeFrom="margin">
              <wp14:pctHeight>0</wp14:pctHeight>
            </wp14:sizeRelV>
          </wp:anchor>
        </w:drawing>
      </w:r>
    </w:p>
    <w:p w14:paraId="6A4AD118" w14:textId="2E4909F4" w:rsidR="008D704C" w:rsidRDefault="008D704C" w:rsidP="00FC3E2A">
      <w:pPr>
        <w:pStyle w:val="NoSpacing"/>
        <w:numPr>
          <w:ilvl w:val="0"/>
          <w:numId w:val="1"/>
        </w:numPr>
        <w:spacing w:after="180"/>
        <w:ind w:left="1267" w:right="86"/>
      </w:pPr>
      <w:r>
        <w:t>in their child’s initial referral for evaluation under IDEA, or when the parents ask for such an evaluation of their child;</w:t>
      </w:r>
    </w:p>
    <w:p w14:paraId="53446F97" w14:textId="3BFB8281" w:rsidR="008D704C" w:rsidRDefault="008D704C" w:rsidP="00FC3E2A">
      <w:pPr>
        <w:pStyle w:val="NoSpacing"/>
        <w:numPr>
          <w:ilvl w:val="0"/>
          <w:numId w:val="1"/>
        </w:numPr>
        <w:spacing w:after="180"/>
        <w:ind w:left="1267" w:right="86"/>
      </w:pPr>
      <w:r>
        <w:t>the first time in the school year that a State complaint is filed and when the first due process complaint is received in a school year;</w:t>
      </w:r>
    </w:p>
    <w:p w14:paraId="0379E6F3" w14:textId="5BB0F759" w:rsidR="008D704C" w:rsidRDefault="008D704C" w:rsidP="00FC3E2A">
      <w:pPr>
        <w:pStyle w:val="NoSpacing"/>
        <w:numPr>
          <w:ilvl w:val="0"/>
          <w:numId w:val="1"/>
        </w:numPr>
        <w:spacing w:after="180"/>
        <w:ind w:left="1267" w:right="86"/>
      </w:pPr>
      <w:r>
        <w:t>in accordance with the discipline procedures en §300.530(h); and</w:t>
      </w:r>
    </w:p>
    <w:p w14:paraId="769DABC0" w14:textId="25E63DDF" w:rsidR="008D704C" w:rsidRDefault="008D704C" w:rsidP="00FC3E2A">
      <w:pPr>
        <w:pStyle w:val="NoSpacing"/>
        <w:numPr>
          <w:ilvl w:val="0"/>
          <w:numId w:val="1"/>
        </w:numPr>
        <w:spacing w:after="180"/>
        <w:ind w:left="1267" w:right="86"/>
      </w:pPr>
      <w:r>
        <w:t>when a parent requests a copy of the procedural safeguards notice.</w:t>
      </w:r>
    </w:p>
    <w:p w14:paraId="19D2DCCA" w14:textId="52D62333" w:rsidR="008D704C" w:rsidRDefault="008D704C" w:rsidP="00945CB8">
      <w:pPr>
        <w:pStyle w:val="NoSpacing"/>
        <w:ind w:left="540" w:right="90"/>
      </w:pPr>
      <w:r>
        <w:t>Your local school district may also post a current copy of the procedural safeguards notice on its website, if it has a website.</w:t>
      </w:r>
    </w:p>
    <w:p w14:paraId="496CE48F" w14:textId="77777777" w:rsidR="008D704C" w:rsidRDefault="008D704C" w:rsidP="00945CB8">
      <w:pPr>
        <w:pStyle w:val="NoSpacing"/>
        <w:ind w:left="540" w:right="90"/>
      </w:pPr>
    </w:p>
    <w:p w14:paraId="714F2CB3" w14:textId="6106BB93" w:rsidR="008D704C" w:rsidRPr="0030019F" w:rsidRDefault="008D704C" w:rsidP="00945CB8">
      <w:pPr>
        <w:pStyle w:val="NoSpacing"/>
        <w:ind w:left="540" w:right="90"/>
        <w:rPr>
          <w:b/>
          <w:bCs/>
          <w:sz w:val="28"/>
          <w:szCs w:val="28"/>
        </w:rPr>
      </w:pPr>
      <w:r w:rsidRPr="0030019F">
        <w:rPr>
          <w:b/>
          <w:bCs/>
          <w:sz w:val="28"/>
          <w:szCs w:val="28"/>
        </w:rPr>
        <w:t>What does the procedural safeguards notice contain?</w:t>
      </w:r>
    </w:p>
    <w:p w14:paraId="1EAD7164" w14:textId="174D962D" w:rsidR="008D704C" w:rsidRDefault="008D704C" w:rsidP="00B33B2C">
      <w:pPr>
        <w:pStyle w:val="NoSpacing"/>
        <w:spacing w:after="120"/>
        <w:ind w:left="547" w:right="86"/>
      </w:pPr>
      <w:r>
        <w:t>The procedural safeguards notice must include a complete explanation of all the safeguards available under IDEA related to:</w:t>
      </w:r>
    </w:p>
    <w:p w14:paraId="7EE3DAFF" w14:textId="77777777" w:rsidR="008D704C" w:rsidRDefault="008D704C" w:rsidP="00945CB8">
      <w:pPr>
        <w:pStyle w:val="NoSpacing"/>
        <w:numPr>
          <w:ilvl w:val="0"/>
          <w:numId w:val="2"/>
        </w:numPr>
        <w:spacing w:after="180"/>
        <w:ind w:right="90"/>
      </w:pPr>
      <w:r>
        <w:t>Independent educational evaluations</w:t>
      </w:r>
    </w:p>
    <w:p w14:paraId="159292A2" w14:textId="77777777" w:rsidR="008D704C" w:rsidRDefault="008D704C" w:rsidP="00945CB8">
      <w:pPr>
        <w:pStyle w:val="NoSpacing"/>
        <w:numPr>
          <w:ilvl w:val="0"/>
          <w:numId w:val="2"/>
        </w:numPr>
        <w:spacing w:after="180"/>
        <w:ind w:right="90"/>
      </w:pPr>
      <w:r>
        <w:t>Prior written notice</w:t>
      </w:r>
    </w:p>
    <w:p w14:paraId="330FFD36" w14:textId="3C8B5367" w:rsidR="008D704C" w:rsidRDefault="00240581" w:rsidP="00945CB8">
      <w:pPr>
        <w:pStyle w:val="NoSpacing"/>
        <w:spacing w:after="180"/>
        <w:ind w:left="540" w:right="90"/>
      </w:pPr>
      <w:r>
        <w:rPr>
          <w:rFonts w:cstheme="minorHAnsi"/>
          <w:noProof/>
        </w:rPr>
        <w:lastRenderedPageBreak/>
        <w:drawing>
          <wp:anchor distT="0" distB="0" distL="114300" distR="114300" simplePos="0" relativeHeight="251674624" behindDoc="1" locked="0" layoutInCell="1" allowOverlap="1" wp14:anchorId="3EBCD67F" wp14:editId="7E73B830">
            <wp:simplePos x="0" y="0"/>
            <wp:positionH relativeFrom="column">
              <wp:posOffset>5124146</wp:posOffset>
            </wp:positionH>
            <wp:positionV relativeFrom="paragraph">
              <wp:posOffset>92710</wp:posOffset>
            </wp:positionV>
            <wp:extent cx="1118235" cy="1550670"/>
            <wp:effectExtent l="57150" t="57150" r="120015" b="10668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118235" cy="1550670"/>
                    </a:xfrm>
                    <a:prstGeom prst="rect">
                      <a:avLst/>
                    </a:prstGeom>
                    <a:ln>
                      <a:solidFill>
                        <a:schemeClr val="accent1">
                          <a:lumMod val="7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24AB37" w14:textId="135EF28A" w:rsidR="008D704C" w:rsidRDefault="008D704C" w:rsidP="00945CB8">
      <w:pPr>
        <w:pStyle w:val="NoSpacing"/>
        <w:numPr>
          <w:ilvl w:val="0"/>
          <w:numId w:val="2"/>
        </w:numPr>
        <w:spacing w:after="180"/>
        <w:ind w:right="90"/>
      </w:pPr>
      <w:r>
        <w:t>Parental consent</w:t>
      </w:r>
    </w:p>
    <w:p w14:paraId="60F5B738" w14:textId="787CE0C9" w:rsidR="008D704C" w:rsidRDefault="008D704C" w:rsidP="00945CB8">
      <w:pPr>
        <w:pStyle w:val="NoSpacing"/>
        <w:numPr>
          <w:ilvl w:val="0"/>
          <w:numId w:val="2"/>
        </w:numPr>
        <w:spacing w:after="180"/>
        <w:ind w:right="90"/>
      </w:pPr>
      <w:r>
        <w:t>Access to student education records</w:t>
      </w:r>
    </w:p>
    <w:p w14:paraId="2ED865C7" w14:textId="6F10C38E" w:rsidR="008D704C" w:rsidRDefault="008D704C" w:rsidP="00945CB8">
      <w:pPr>
        <w:pStyle w:val="NoSpacing"/>
        <w:numPr>
          <w:ilvl w:val="0"/>
          <w:numId w:val="2"/>
        </w:numPr>
        <w:spacing w:after="180"/>
        <w:ind w:right="90"/>
      </w:pPr>
      <w:r>
        <w:t>The opportunity to present and resolve complaints through procedures for due process complaint and for State complaints,  including–</w:t>
      </w:r>
    </w:p>
    <w:p w14:paraId="317F1676" w14:textId="5570BF2C" w:rsidR="008D704C" w:rsidRDefault="008D704C" w:rsidP="00945CB8">
      <w:pPr>
        <w:pStyle w:val="NoSpacing"/>
        <w:spacing w:after="180"/>
        <w:ind w:left="1350" w:right="90"/>
      </w:pPr>
      <w:r>
        <w:t>–the timeline for filing a complaint;</w:t>
      </w:r>
    </w:p>
    <w:p w14:paraId="1422C5B6" w14:textId="40DC5D3A" w:rsidR="008D704C" w:rsidRDefault="008D704C" w:rsidP="00945CB8">
      <w:pPr>
        <w:pStyle w:val="NoSpacing"/>
        <w:spacing w:after="180"/>
        <w:ind w:left="1350" w:right="90"/>
      </w:pPr>
      <w:r>
        <w:t>–the opportunity for the school system to resolve the complaint; and</w:t>
      </w:r>
    </w:p>
    <w:p w14:paraId="5C2648DB" w14:textId="5A5344FD" w:rsidR="008D704C" w:rsidRDefault="008D704C" w:rsidP="00945CB8">
      <w:pPr>
        <w:pStyle w:val="NoSpacing"/>
        <w:spacing w:after="180"/>
        <w:ind w:left="1350" w:right="90"/>
      </w:pPr>
      <w:r>
        <w:t>–the differences between the scope of the two procedures such as their jurisdiction or authority, issues covered, filing and decisional timelines, and relevant procedures;</w:t>
      </w:r>
    </w:p>
    <w:p w14:paraId="1AAFDAAC" w14:textId="15765E3A" w:rsidR="008D704C" w:rsidRDefault="008D704C" w:rsidP="00945CB8">
      <w:pPr>
        <w:pStyle w:val="NoSpacing"/>
        <w:numPr>
          <w:ilvl w:val="0"/>
          <w:numId w:val="3"/>
        </w:numPr>
        <w:spacing w:after="180"/>
        <w:ind w:right="90"/>
      </w:pPr>
      <w:r>
        <w:t>The availability of mediation;</w:t>
      </w:r>
    </w:p>
    <w:p w14:paraId="1F4AA9D5" w14:textId="53C5D40F" w:rsidR="008D704C" w:rsidRDefault="008D704C" w:rsidP="00945CB8">
      <w:pPr>
        <w:pStyle w:val="NoSpacing"/>
        <w:numPr>
          <w:ilvl w:val="0"/>
          <w:numId w:val="3"/>
        </w:numPr>
        <w:spacing w:after="180"/>
        <w:ind w:right="90"/>
      </w:pPr>
      <w:r>
        <w:t>The child’s placement during the pendency of any due process complaint;</w:t>
      </w:r>
    </w:p>
    <w:p w14:paraId="60B6802E" w14:textId="60F243CB" w:rsidR="008D704C" w:rsidRDefault="008D704C" w:rsidP="00945CB8">
      <w:pPr>
        <w:pStyle w:val="NoSpacing"/>
        <w:numPr>
          <w:ilvl w:val="0"/>
          <w:numId w:val="3"/>
        </w:numPr>
        <w:spacing w:after="180"/>
        <w:ind w:right="90"/>
      </w:pPr>
      <w:r>
        <w:t>Procedures for students who are subject to placement in an interim alternative educational setting;</w:t>
      </w:r>
    </w:p>
    <w:p w14:paraId="0AE4FD8E" w14:textId="11CFF80A" w:rsidR="008D704C" w:rsidRDefault="008D704C" w:rsidP="00945CB8">
      <w:pPr>
        <w:pStyle w:val="NoSpacing"/>
        <w:numPr>
          <w:ilvl w:val="0"/>
          <w:numId w:val="3"/>
        </w:numPr>
        <w:spacing w:after="180"/>
        <w:ind w:right="90"/>
      </w:pPr>
      <w:r>
        <w:t>Requirements for unilateral placement by parents of children in private schools at public expense;</w:t>
      </w:r>
    </w:p>
    <w:p w14:paraId="6068550E" w14:textId="4FD79D8A" w:rsidR="008D704C" w:rsidRDefault="008D704C" w:rsidP="00945CB8">
      <w:pPr>
        <w:pStyle w:val="NoSpacing"/>
        <w:numPr>
          <w:ilvl w:val="0"/>
          <w:numId w:val="3"/>
        </w:numPr>
        <w:spacing w:after="180"/>
        <w:ind w:right="90"/>
      </w:pPr>
      <w:r>
        <w:t>Due process hearings, including requirements for disclosure of evaluation results and recommendations;</w:t>
      </w:r>
    </w:p>
    <w:p w14:paraId="4ADA00E8" w14:textId="0D6BB65E" w:rsidR="008D704C" w:rsidRDefault="008D704C" w:rsidP="00945CB8">
      <w:pPr>
        <w:pStyle w:val="NoSpacing"/>
        <w:numPr>
          <w:ilvl w:val="0"/>
          <w:numId w:val="3"/>
        </w:numPr>
        <w:spacing w:after="180"/>
        <w:ind w:right="90"/>
      </w:pPr>
      <w:r>
        <w:t>Appeals at the State level (if applicable in the State);</w:t>
      </w:r>
    </w:p>
    <w:p w14:paraId="466E80BE" w14:textId="1F5D310E" w:rsidR="008D704C" w:rsidRDefault="008D704C" w:rsidP="00945CB8">
      <w:pPr>
        <w:pStyle w:val="NoSpacing"/>
        <w:numPr>
          <w:ilvl w:val="0"/>
          <w:numId w:val="3"/>
        </w:numPr>
        <w:spacing w:after="180"/>
        <w:ind w:right="90"/>
      </w:pPr>
      <w:r>
        <w:t>Civil actions, including the period of time in which to file such actions; and</w:t>
      </w:r>
    </w:p>
    <w:p w14:paraId="184DC262" w14:textId="77777777" w:rsidR="008D704C" w:rsidRDefault="008D704C" w:rsidP="00945CB8">
      <w:pPr>
        <w:pStyle w:val="NoSpacing"/>
        <w:numPr>
          <w:ilvl w:val="0"/>
          <w:numId w:val="3"/>
        </w:numPr>
        <w:spacing w:after="180"/>
        <w:ind w:right="90"/>
      </w:pPr>
      <w:r>
        <w:t>Attorneys’ fees. [§300.504]</w:t>
      </w:r>
    </w:p>
    <w:p w14:paraId="29DD6214" w14:textId="31463013" w:rsidR="008D704C" w:rsidRDefault="008D704C" w:rsidP="00945CB8">
      <w:pPr>
        <w:pStyle w:val="NoSpacing"/>
        <w:ind w:left="540" w:right="90"/>
      </w:pPr>
      <w:r>
        <w:t>In addition to providing this explicit information, the procedural safeguards notice must be written in understandable language.</w:t>
      </w:r>
    </w:p>
    <w:p w14:paraId="6CAF0704" w14:textId="5B6956E4" w:rsidR="009E4DCF" w:rsidRDefault="009E4DCF" w:rsidP="00945CB8">
      <w:pPr>
        <w:pStyle w:val="NoSpacing"/>
        <w:ind w:left="540" w:right="90"/>
      </w:pPr>
    </w:p>
    <w:p w14:paraId="350CE8D2" w14:textId="332BED4C" w:rsidR="008D704C" w:rsidRPr="00945CB8" w:rsidRDefault="008D704C" w:rsidP="00945CB8">
      <w:pPr>
        <w:pStyle w:val="NoSpacing"/>
        <w:ind w:left="540" w:right="90"/>
        <w:rPr>
          <w:b/>
          <w:bCs/>
          <w:sz w:val="28"/>
          <w:szCs w:val="28"/>
        </w:rPr>
      </w:pPr>
      <w:r w:rsidRPr="00945CB8">
        <w:rPr>
          <w:b/>
          <w:bCs/>
          <w:sz w:val="28"/>
          <w:szCs w:val="28"/>
        </w:rPr>
        <w:t>What qualifies as “understandable language”?</w:t>
      </w:r>
    </w:p>
    <w:p w14:paraId="4B4CA0CC" w14:textId="65603E47" w:rsidR="008D704C" w:rsidRDefault="008D704C" w:rsidP="006C595E">
      <w:pPr>
        <w:pStyle w:val="NoSpacing"/>
        <w:spacing w:after="180"/>
        <w:ind w:left="540" w:right="86"/>
      </w:pPr>
      <w:r>
        <w:t>Under IDEA, the procedural safeguards notice (and, for that matter, the prior written notice) must be:</w:t>
      </w:r>
    </w:p>
    <w:p w14:paraId="7CDDBE0D" w14:textId="18BF077E" w:rsidR="008D704C" w:rsidRDefault="008D704C" w:rsidP="006C595E">
      <w:pPr>
        <w:pStyle w:val="NoSpacing"/>
        <w:numPr>
          <w:ilvl w:val="0"/>
          <w:numId w:val="4"/>
        </w:numPr>
        <w:spacing w:after="180"/>
        <w:ind w:right="86"/>
      </w:pPr>
      <w:r>
        <w:t>written in a language understandable to the general public; and</w:t>
      </w:r>
    </w:p>
    <w:p w14:paraId="61D0E84A" w14:textId="695B1749" w:rsidR="008D704C" w:rsidRDefault="008D704C" w:rsidP="006C595E">
      <w:pPr>
        <w:pStyle w:val="NoSpacing"/>
        <w:numPr>
          <w:ilvl w:val="0"/>
          <w:numId w:val="4"/>
        </w:numPr>
        <w:spacing w:after="180"/>
        <w:ind w:right="86"/>
      </w:pPr>
      <w:r>
        <w:t>provided in the native language of the parent or in another mode of communication that’s used by the parent, unless it is clearly not feasible to do so. [§300.503(c)]</w:t>
      </w:r>
    </w:p>
    <w:p w14:paraId="2375041A" w14:textId="766EA0F8" w:rsidR="008D704C" w:rsidRDefault="008D704C" w:rsidP="006C595E">
      <w:pPr>
        <w:pStyle w:val="NoSpacing"/>
        <w:spacing w:after="180"/>
        <w:ind w:left="540" w:right="86"/>
      </w:pPr>
      <w:r>
        <w:t>If the native language or other mode of communication used by the parent is not a written language, then the school must take steps to ensure:</w:t>
      </w:r>
    </w:p>
    <w:p w14:paraId="5B2B1D1B" w14:textId="44EC8394" w:rsidR="008D704C" w:rsidRDefault="008D704C" w:rsidP="006C595E">
      <w:pPr>
        <w:pStyle w:val="NoSpacing"/>
        <w:numPr>
          <w:ilvl w:val="0"/>
          <w:numId w:val="5"/>
        </w:numPr>
        <w:spacing w:after="180"/>
        <w:ind w:right="86"/>
      </w:pPr>
      <w:r>
        <w:t>that the notice is translated orally or by other means to the parent in his or her native language or other mode of communication;</w:t>
      </w:r>
    </w:p>
    <w:p w14:paraId="20086F79" w14:textId="69C36D6D" w:rsidR="008D704C" w:rsidRDefault="008D704C" w:rsidP="006C595E">
      <w:pPr>
        <w:pStyle w:val="NoSpacing"/>
        <w:numPr>
          <w:ilvl w:val="0"/>
          <w:numId w:val="5"/>
        </w:numPr>
        <w:spacing w:after="180"/>
        <w:ind w:right="86"/>
      </w:pPr>
      <w:r>
        <w:t>that the parent understands the content of the notice; and</w:t>
      </w:r>
    </w:p>
    <w:p w14:paraId="7EA9468D" w14:textId="48DB04D8" w:rsidR="008D704C" w:rsidRDefault="008D704C" w:rsidP="002F00C6">
      <w:pPr>
        <w:pStyle w:val="NoSpacing"/>
        <w:numPr>
          <w:ilvl w:val="0"/>
          <w:numId w:val="5"/>
        </w:numPr>
        <w:ind w:right="90"/>
      </w:pPr>
      <w:r>
        <w:t>that there is written evidence that these requirements have been met. [§300.503(c)]</w:t>
      </w:r>
    </w:p>
    <w:p w14:paraId="2C64AF48" w14:textId="4A121856" w:rsidR="008D704C" w:rsidRDefault="00FE1AD0" w:rsidP="001A069B">
      <w:pPr>
        <w:pStyle w:val="NoSpacing"/>
        <w:tabs>
          <w:tab w:val="left" w:pos="3018"/>
        </w:tabs>
        <w:ind w:left="540" w:right="90"/>
      </w:pPr>
      <w:r w:rsidRPr="00BF26B9">
        <w:rPr>
          <w:b/>
          <w:bCs/>
          <w:noProof/>
          <w:sz w:val="28"/>
          <w:szCs w:val="28"/>
        </w:rPr>
        <w:lastRenderedPageBreak/>
        <mc:AlternateContent>
          <mc:Choice Requires="wps">
            <w:drawing>
              <wp:inline distT="0" distB="0" distL="0" distR="0" wp14:anchorId="4A6C17FD" wp14:editId="0B7B20C8">
                <wp:extent cx="6105525" cy="1403985"/>
                <wp:effectExtent l="0" t="0" r="0"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noFill/>
                        <a:ln w="9525">
                          <a:noFill/>
                          <a:miter lim="800000"/>
                          <a:headEnd/>
                          <a:tailEnd/>
                        </a:ln>
                      </wps:spPr>
                      <wps:txbx>
                        <w:txbxContent>
                          <w:p w14:paraId="0ED13847" w14:textId="0219D203" w:rsidR="00BF26B9" w:rsidRPr="00AA683F" w:rsidRDefault="0045145C">
                            <w:pPr>
                              <w:pBdr>
                                <w:top w:val="single" w:sz="24" w:space="8" w:color="4472C4" w:themeColor="accent1"/>
                                <w:bottom w:val="single" w:sz="24" w:space="8" w:color="4472C4" w:themeColor="accent1"/>
                              </w:pBdr>
                              <w:spacing w:after="0"/>
                              <w:rPr>
                                <w:b/>
                                <w:bCs/>
                                <w:color w:val="000000" w:themeColor="text1"/>
                                <w:sz w:val="24"/>
                                <w:szCs w:val="24"/>
                              </w:rPr>
                            </w:pPr>
                            <w:r w:rsidRPr="00AA683F">
                              <w:rPr>
                                <w:b/>
                                <w:bCs/>
                                <w:color w:val="000000" w:themeColor="text1"/>
                                <w:sz w:val="24"/>
                                <w:szCs w:val="24"/>
                              </w:rPr>
                              <w:t>Is there an example of a procedural safeguards notice?</w:t>
                            </w:r>
                          </w:p>
                          <w:p w14:paraId="44DCEA51" w14:textId="51A9422F" w:rsidR="00AA683F" w:rsidRPr="00A07107" w:rsidRDefault="00FB39A1" w:rsidP="00AA683F">
                            <w:pPr>
                              <w:pBdr>
                                <w:top w:val="single" w:sz="24" w:space="8" w:color="4472C4" w:themeColor="accent1"/>
                                <w:bottom w:val="single" w:sz="24" w:space="8" w:color="4472C4" w:themeColor="accent1"/>
                              </w:pBdr>
                              <w:spacing w:after="0"/>
                            </w:pPr>
                            <w:r w:rsidRPr="00A07107">
                              <w:rPr>
                                <w:rFonts w:cstheme="minorHAnsi"/>
                              </w:rPr>
                              <w:t>Yes. The U.S. Department of Education makes a Model Form available online</w:t>
                            </w:r>
                            <w:r w:rsidR="00AA683F" w:rsidRPr="00A07107">
                              <w:rPr>
                                <w:rFonts w:cstheme="minorHAnsi"/>
                              </w:rPr>
                              <w:t xml:space="preserve">: </w:t>
                            </w:r>
                            <w:hyperlink r:id="rId16" w:history="1">
                              <w:r w:rsidR="00AA683F" w:rsidRPr="00A07107">
                                <w:rPr>
                                  <w:rStyle w:val="Hyperlink"/>
                                </w:rPr>
                                <w:t>https://sites.ed.gov/idea/files/modelform_Procedural_Safeguards_June_2009.pdf</w:t>
                              </w:r>
                            </w:hyperlink>
                            <w:r w:rsidR="00AA683F" w:rsidRPr="00A07107">
                              <w:t xml:space="preserve"> </w:t>
                            </w:r>
                          </w:p>
                        </w:txbxContent>
                      </wps:txbx>
                      <wps:bodyPr rot="0" vert="horz" wrap="square" lIns="91440" tIns="45720" rIns="91440" bIns="45720" anchor="t" anchorCtr="0">
                        <a:spAutoFit/>
                      </wps:bodyPr>
                    </wps:wsp>
                  </a:graphicData>
                </a:graphic>
              </wp:inline>
            </w:drawing>
          </mc:Choice>
          <mc:Fallback>
            <w:pict>
              <v:shapetype w14:anchorId="4A6C17FD" id="_x0000_t202" coordsize="21600,21600" o:spt="202" path="m,l,21600r21600,l21600,xe">
                <v:stroke joinstyle="miter"/>
                <v:path gradientshapeok="t" o:connecttype="rect"/>
              </v:shapetype>
              <v:shape id="Text Box 2" o:spid="_x0000_s1026" type="#_x0000_t202" style="width:48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" filled="f" stroked="f">
                <v:textbox style="mso-fit-shape-to-text:t">
                  <w:txbxContent>
                    <w:p w14:paraId="0ED13847" w14:textId="0219D203" w:rsidR="00BF26B9" w:rsidRPr="00AA683F" w:rsidRDefault="0045145C">
                      <w:pPr>
                        <w:pBdr>
                          <w:top w:val="single" w:sz="24" w:space="8" w:color="4472C4" w:themeColor="accent1"/>
                          <w:bottom w:val="single" w:sz="24" w:space="8" w:color="4472C4" w:themeColor="accent1"/>
                        </w:pBdr>
                        <w:spacing w:after="0"/>
                        <w:rPr>
                          <w:b/>
                          <w:bCs/>
                          <w:color w:val="000000" w:themeColor="text1"/>
                          <w:sz w:val="24"/>
                          <w:szCs w:val="24"/>
                        </w:rPr>
                      </w:pPr>
                      <w:r w:rsidRPr="00AA683F">
                        <w:rPr>
                          <w:b/>
                          <w:bCs/>
                          <w:color w:val="000000" w:themeColor="text1"/>
                          <w:sz w:val="24"/>
                          <w:szCs w:val="24"/>
                        </w:rPr>
                        <w:t>Is there an example of a procedural safeguards notice?</w:t>
                      </w:r>
                    </w:p>
                    <w:p w14:paraId="44DCEA51" w14:textId="51A9422F" w:rsidR="00AA683F" w:rsidRPr="00A07107" w:rsidRDefault="00FB39A1" w:rsidP="00AA683F">
                      <w:pPr>
                        <w:pBdr>
                          <w:top w:val="single" w:sz="24" w:space="8" w:color="4472C4" w:themeColor="accent1"/>
                          <w:bottom w:val="single" w:sz="24" w:space="8" w:color="4472C4" w:themeColor="accent1"/>
                        </w:pBdr>
                        <w:spacing w:after="0"/>
                      </w:pPr>
                      <w:r w:rsidRPr="00A07107">
                        <w:rPr>
                          <w:rFonts w:cstheme="minorHAnsi"/>
                        </w:rPr>
                        <w:t>Yes. The U.S. Department of Education makes a Model Form available online</w:t>
                      </w:r>
                      <w:r w:rsidR="00AA683F" w:rsidRPr="00A07107">
                        <w:rPr>
                          <w:rFonts w:cstheme="minorHAnsi"/>
                        </w:rPr>
                        <w:t xml:space="preserve">: </w:t>
                      </w:r>
                      <w:hyperlink r:id="rId17" w:history="1">
                        <w:r w:rsidR="00AA683F" w:rsidRPr="00A07107">
                          <w:rPr>
                            <w:rStyle w:val="Hyperlink"/>
                          </w:rPr>
                          <w:t>https://sites.ed.gov/idea/files/modelform_Procedural_Safeguards_June_2009.pdf</w:t>
                        </w:r>
                      </w:hyperlink>
                      <w:r w:rsidR="00AA683F" w:rsidRPr="00A07107">
                        <w:t xml:space="preserve"> </w:t>
                      </w:r>
                    </w:p>
                  </w:txbxContent>
                </v:textbox>
                <w10:anchorlock/>
              </v:shape>
            </w:pict>
          </mc:Fallback>
        </mc:AlternateContent>
      </w:r>
      <w:r w:rsidR="008D704C">
        <w:t xml:space="preserve"> </w:t>
      </w:r>
      <w:r w:rsidR="001A069B">
        <w:tab/>
      </w:r>
    </w:p>
    <w:p w14:paraId="2DA52CA8" w14:textId="2F82DAD6" w:rsidR="008D704C" w:rsidRPr="00E84048" w:rsidRDefault="008D704C" w:rsidP="00945CB8">
      <w:pPr>
        <w:pStyle w:val="NoSpacing"/>
        <w:ind w:left="540" w:right="90"/>
        <w:rPr>
          <w:b/>
          <w:bCs/>
          <w:sz w:val="28"/>
          <w:szCs w:val="28"/>
        </w:rPr>
      </w:pPr>
      <w:r w:rsidRPr="00E84048">
        <w:rPr>
          <w:b/>
          <w:bCs/>
          <w:sz w:val="28"/>
          <w:szCs w:val="28"/>
        </w:rPr>
        <w:t>May the school send the procedural safeguards notice via email?</w:t>
      </w:r>
    </w:p>
    <w:p w14:paraId="34AEF828" w14:textId="409145E8" w:rsidR="008D704C" w:rsidRDefault="008D704C" w:rsidP="00945CB8">
      <w:pPr>
        <w:pStyle w:val="NoSpacing"/>
        <w:ind w:left="540" w:right="90"/>
      </w:pPr>
      <w:r w:rsidRPr="00E84048">
        <w:rPr>
          <w:b/>
          <w:bCs/>
          <w:i/>
          <w:iCs/>
        </w:rPr>
        <w:t>Yes</w:t>
      </w:r>
      <w:r>
        <w:t>, at the discretion of the parents. IDEA says that the parent of a child with a disability may elect to receive the notice by email, if the school makes that option available.</w:t>
      </w:r>
    </w:p>
    <w:p w14:paraId="3772E92E" w14:textId="575B347E" w:rsidR="008D704C" w:rsidRDefault="008D704C" w:rsidP="00945CB8">
      <w:pPr>
        <w:pStyle w:val="NoSpacing"/>
        <w:ind w:left="540" w:right="90"/>
      </w:pPr>
    </w:p>
    <w:p w14:paraId="60F99B7D" w14:textId="77777777" w:rsidR="00230F8D" w:rsidRDefault="00230F8D" w:rsidP="00945CB8">
      <w:pPr>
        <w:pStyle w:val="NoSpacing"/>
        <w:ind w:left="540" w:right="90"/>
      </w:pPr>
    </w:p>
    <w:p w14:paraId="0B8106FF" w14:textId="4E543F48" w:rsidR="008D704C" w:rsidRPr="00230F8D" w:rsidRDefault="008D704C" w:rsidP="00945CB8">
      <w:pPr>
        <w:pStyle w:val="NoSpacing"/>
        <w:ind w:left="540" w:right="90"/>
        <w:rPr>
          <w:b/>
          <w:bCs/>
          <w:sz w:val="28"/>
          <w:szCs w:val="28"/>
        </w:rPr>
      </w:pPr>
      <w:r w:rsidRPr="00230F8D">
        <w:rPr>
          <w:b/>
          <w:bCs/>
          <w:sz w:val="28"/>
          <w:szCs w:val="28"/>
        </w:rPr>
        <w:t xml:space="preserve">What should a parent do, if he or she doesn’t understand the notice </w:t>
      </w:r>
      <w:r w:rsidR="00230F8D">
        <w:rPr>
          <w:b/>
          <w:bCs/>
          <w:sz w:val="28"/>
          <w:szCs w:val="28"/>
        </w:rPr>
        <w:t>from</w:t>
      </w:r>
      <w:r w:rsidRPr="00230F8D">
        <w:rPr>
          <w:b/>
          <w:bCs/>
          <w:sz w:val="28"/>
          <w:szCs w:val="28"/>
        </w:rPr>
        <w:t xml:space="preserve"> the school?</w:t>
      </w:r>
    </w:p>
    <w:p w14:paraId="6FF619FC" w14:textId="0A638A35" w:rsidR="008D704C" w:rsidRDefault="008D704C" w:rsidP="00945CB8">
      <w:pPr>
        <w:pStyle w:val="NoSpacing"/>
        <w:ind w:left="540" w:right="90"/>
      </w:pPr>
      <w:r>
        <w:t xml:space="preserve">Parents can get in touch with the Parent Center </w:t>
      </w:r>
      <w:r w:rsidR="00230F8D">
        <w:t>f</w:t>
      </w:r>
      <w:r>
        <w:t xml:space="preserve">or their state. </w:t>
      </w:r>
      <w:r w:rsidR="00230F8D">
        <w:t>Parent Centers</w:t>
      </w:r>
      <w:r>
        <w:t xml:space="preserve"> typically can provide parents with explanations of key IDEA-related rights and responsibilities, as well as informative materials and training. Each state has at least one </w:t>
      </w:r>
      <w:r w:rsidR="00230F8D">
        <w:t>Parent Center</w:t>
      </w:r>
      <w:r>
        <w:t>.</w:t>
      </w:r>
    </w:p>
    <w:p w14:paraId="4F4FBEF9" w14:textId="77777777" w:rsidR="008D704C" w:rsidRDefault="008D704C" w:rsidP="00945CB8">
      <w:pPr>
        <w:pStyle w:val="NoSpacing"/>
        <w:ind w:left="540" w:right="90"/>
      </w:pPr>
    </w:p>
    <w:p w14:paraId="415E3BFC" w14:textId="0D8506EF" w:rsidR="008D704C" w:rsidRDefault="008D704C" w:rsidP="00945CB8">
      <w:pPr>
        <w:pStyle w:val="NoSpacing"/>
        <w:ind w:left="540" w:right="90"/>
      </w:pPr>
      <w:r>
        <w:t xml:space="preserve">To identify the </w:t>
      </w:r>
      <w:r w:rsidR="00230F8D">
        <w:t xml:space="preserve">one </w:t>
      </w:r>
      <w:r>
        <w:t xml:space="preserve">serving your area, visit our </w:t>
      </w:r>
      <w:r w:rsidRPr="00230F8D">
        <w:rPr>
          <w:i/>
          <w:iCs/>
        </w:rPr>
        <w:t>Find Your Parent Center</w:t>
      </w:r>
      <w:r>
        <w:t xml:space="preserve"> page, at:</w:t>
      </w:r>
    </w:p>
    <w:p w14:paraId="5730111B" w14:textId="789CE878" w:rsidR="008D704C" w:rsidRDefault="00C01B40" w:rsidP="00945CB8">
      <w:pPr>
        <w:pStyle w:val="NoSpacing"/>
        <w:ind w:left="540" w:right="90"/>
      </w:pPr>
      <w:hyperlink r:id="rId18" w:history="1">
        <w:r w:rsidR="00230F8D" w:rsidRPr="00AF7F16">
          <w:rPr>
            <w:rStyle w:val="Hyperlink"/>
          </w:rPr>
          <w:t>https://www.parentcenterhub.org/find-your-center</w:t>
        </w:r>
      </w:hyperlink>
      <w:r w:rsidR="00230F8D">
        <w:t xml:space="preserve"> </w:t>
      </w:r>
    </w:p>
    <w:p w14:paraId="6A0D1B7D" w14:textId="7DB7C438" w:rsidR="008D704C" w:rsidRDefault="008D704C" w:rsidP="00945CB8">
      <w:pPr>
        <w:pStyle w:val="NoSpacing"/>
        <w:ind w:left="540" w:right="90"/>
      </w:pPr>
    </w:p>
    <w:p w14:paraId="3D2B8E4F" w14:textId="6AD9BB7C" w:rsidR="008D704C" w:rsidRDefault="00206023" w:rsidP="00206023">
      <w:pPr>
        <w:pStyle w:val="NoSpacing"/>
        <w:ind w:left="1980" w:right="90" w:firstLine="180"/>
      </w:pPr>
      <w:r>
        <w:t xml:space="preserve">    </w:t>
      </w:r>
      <w:r w:rsidR="008D704C">
        <w:t>________________________________________________________</w:t>
      </w:r>
    </w:p>
    <w:p w14:paraId="4AFF40C5" w14:textId="0DEF958D" w:rsidR="008D704C" w:rsidRDefault="00206023" w:rsidP="00945CB8">
      <w:pPr>
        <w:pStyle w:val="NoSpacing"/>
        <w:ind w:left="540" w:right="90"/>
      </w:pPr>
      <w:r>
        <w:rPr>
          <w:noProof/>
        </w:rPr>
        <w:drawing>
          <wp:anchor distT="0" distB="0" distL="114300" distR="114300" simplePos="0" relativeHeight="251672576" behindDoc="0" locked="0" layoutInCell="1" allowOverlap="1" wp14:anchorId="3CDFF827" wp14:editId="0DA55008">
            <wp:simplePos x="0" y="0"/>
            <wp:positionH relativeFrom="column">
              <wp:posOffset>288519</wp:posOffset>
            </wp:positionH>
            <wp:positionV relativeFrom="paragraph">
              <wp:posOffset>83668</wp:posOffset>
            </wp:positionV>
            <wp:extent cx="1111885" cy="866775"/>
            <wp:effectExtent l="0" t="0" r="0" b="9525"/>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885" cy="866775"/>
                    </a:xfrm>
                    <a:prstGeom prst="rect">
                      <a:avLst/>
                    </a:prstGeom>
                  </pic:spPr>
                </pic:pic>
              </a:graphicData>
            </a:graphic>
            <wp14:sizeRelH relativeFrom="margin">
              <wp14:pctWidth>0</wp14:pctWidth>
            </wp14:sizeRelH>
            <wp14:sizeRelV relativeFrom="margin">
              <wp14:pctHeight>0</wp14:pctHeight>
            </wp14:sizeRelV>
          </wp:anchor>
        </w:drawing>
      </w:r>
    </w:p>
    <w:p w14:paraId="3D6497C3" w14:textId="3DFA84B3" w:rsidR="008D704C" w:rsidRDefault="008D704C" w:rsidP="00945CB8">
      <w:pPr>
        <w:pStyle w:val="NoSpacing"/>
        <w:ind w:left="540" w:right="90"/>
      </w:pPr>
      <w:r w:rsidRPr="00206023">
        <w:rPr>
          <w:b/>
          <w:bCs/>
          <w:i/>
          <w:iCs/>
        </w:rPr>
        <w:t>Highly Rated Resource!</w:t>
      </w:r>
      <w:r>
        <w:t xml:space="preserve">  This resource was reviewed by 3-member panels of Parent Center staff working independently from one another to rate the quality, relevance, and usefulness of CPIR resources. This resource was found to be of “High Quality, High Relevance, High Usefulness” to Parent Centers.</w:t>
      </w:r>
    </w:p>
    <w:p w14:paraId="54F6A869" w14:textId="3357500A" w:rsidR="008D704C" w:rsidRDefault="008D704C" w:rsidP="00945CB8">
      <w:pPr>
        <w:pStyle w:val="NoSpacing"/>
        <w:ind w:left="540" w:right="90"/>
      </w:pPr>
      <w:r>
        <w:t>_____________________________________________</w:t>
      </w:r>
      <w:r w:rsidR="00206023">
        <w:t>___________</w:t>
      </w:r>
    </w:p>
    <w:p w14:paraId="49D7DB0A" w14:textId="63C96B38" w:rsidR="009B472F" w:rsidRDefault="009B472F" w:rsidP="00181D2A">
      <w:pPr>
        <w:ind w:right="-360"/>
      </w:pPr>
    </w:p>
    <w:p w14:paraId="41232234" w14:textId="147B43DA" w:rsidR="009B472F" w:rsidRDefault="009B472F" w:rsidP="00181D2A">
      <w:pPr>
        <w:ind w:right="-360"/>
      </w:pPr>
    </w:p>
    <w:p w14:paraId="082A6FE1" w14:textId="04B70ADF" w:rsidR="002B2C13" w:rsidRPr="004A1E05" w:rsidRDefault="002B2C13" w:rsidP="004A1E05">
      <w:pPr>
        <w:pStyle w:val="NoSpacing"/>
        <w:ind w:left="540"/>
        <w:rPr>
          <w:rFonts w:cstheme="minorHAnsi"/>
        </w:rPr>
      </w:pPr>
    </w:p>
    <w:p w14:paraId="261252EE" w14:textId="2567301C" w:rsidR="009B472F" w:rsidRDefault="003F4476" w:rsidP="00FD3A47">
      <w:pPr>
        <w:ind w:left="720"/>
        <w:rPr>
          <w:rFonts w:cstheme="minorHAnsi"/>
        </w:rPr>
      </w:pPr>
      <w:r w:rsidRPr="00FD3A47">
        <w:rPr>
          <w:rFonts w:cstheme="minorHAnsi"/>
          <w:noProof/>
        </w:rPr>
        <w:drawing>
          <wp:inline distT="0" distB="0" distL="0" distR="0" wp14:anchorId="02AD672F" wp14:editId="515C34B7">
            <wp:extent cx="1165896" cy="733729"/>
            <wp:effectExtent l="0" t="0" r="0" b="9525"/>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inline>
        </w:drawing>
      </w:r>
    </w:p>
    <w:p w14:paraId="45515345" w14:textId="5B1947B5" w:rsidR="009B472F" w:rsidRDefault="003F4476" w:rsidP="00FD3A47">
      <w:pPr>
        <w:ind w:left="720"/>
        <w:rPr>
          <w:rFonts w:cstheme="minorHAnsi"/>
        </w:rPr>
      </w:pPr>
      <w:r>
        <w:rPr>
          <w:noProof/>
        </w:rPr>
        <mc:AlternateContent>
          <mc:Choice Requires="wps">
            <w:drawing>
              <wp:inline distT="0" distB="0" distL="0" distR="0" wp14:anchorId="73E0CBB5" wp14:editId="11F3E09C">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402018"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4D60BA0A" w14:textId="77777777" w:rsidR="003F4476" w:rsidRPr="00E50337" w:rsidRDefault="003F4476" w:rsidP="003F4476">
      <w:pPr>
        <w:ind w:left="720"/>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p w14:paraId="5B226EB7" w14:textId="69B31B81" w:rsidR="00496045" w:rsidRPr="00496045" w:rsidRDefault="00496045" w:rsidP="003F4476">
      <w:pPr>
        <w:rPr>
          <w:rFonts w:cstheme="minorHAnsi"/>
        </w:rPr>
      </w:pPr>
    </w:p>
    <w:sectPr w:rsidR="00496045" w:rsidRPr="00496045" w:rsidSect="00837AB2">
      <w:footerReference w:type="default" r:id="rId21"/>
      <w:footerReference w:type="first" r:id="rId22"/>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FFC5" w14:textId="77777777" w:rsidR="00C01B40" w:rsidRDefault="00C01B40" w:rsidP="00DE7652">
      <w:pPr>
        <w:spacing w:after="0" w:line="240" w:lineRule="auto"/>
      </w:pPr>
      <w:r>
        <w:separator/>
      </w:r>
    </w:p>
  </w:endnote>
  <w:endnote w:type="continuationSeparator" w:id="0">
    <w:p w14:paraId="6E0A8D47" w14:textId="77777777" w:rsidR="00C01B40" w:rsidRDefault="00C01B40"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8C" w14:textId="345E4A32" w:rsidR="001A5017" w:rsidRPr="00496045" w:rsidRDefault="00255BA0" w:rsidP="00E84048">
    <w:pPr>
      <w:pStyle w:val="Footer"/>
      <w:tabs>
        <w:tab w:val="clear" w:pos="9360"/>
      </w:tabs>
      <w:spacing w:after="120"/>
      <w:ind w:left="634"/>
      <w:rPr>
        <w:sz w:val="20"/>
        <w:szCs w:val="20"/>
      </w:rPr>
    </w:pPr>
    <w:r>
      <w:rPr>
        <w:i/>
        <w:iCs/>
        <w:sz w:val="20"/>
        <w:szCs w:val="20"/>
      </w:rPr>
      <w:t>______________________________________________________________________________________________</w:t>
    </w:r>
    <w:r>
      <w:rPr>
        <w:i/>
        <w:iCs/>
        <w:sz w:val="20"/>
        <w:szCs w:val="20"/>
      </w:rPr>
      <w:br/>
    </w:r>
    <w:r w:rsidR="001A069B">
      <w:rPr>
        <w:i/>
        <w:iCs/>
        <w:sz w:val="20"/>
        <w:szCs w:val="20"/>
      </w:rPr>
      <w:br/>
    </w:r>
    <w:r w:rsidR="001A5017" w:rsidRPr="00496045">
      <w:rPr>
        <w:i/>
        <w:iCs/>
        <w:sz w:val="20"/>
        <w:szCs w:val="20"/>
      </w:rPr>
      <w:t>Right to Receive an Explanation of Procedural Safeguards</w:t>
    </w:r>
    <w:r w:rsidR="005F6888" w:rsidRPr="00496045">
      <w:rPr>
        <w:sz w:val="20"/>
        <w:szCs w:val="20"/>
      </w:rPr>
      <w:tab/>
    </w:r>
    <w:r w:rsidR="00496045" w:rsidRPr="00496045">
      <w:rPr>
        <w:sz w:val="20"/>
        <w:szCs w:val="20"/>
      </w:rPr>
      <w:t xml:space="preserve">             </w:t>
    </w:r>
    <w:r w:rsidR="00496045">
      <w:rPr>
        <w:sz w:val="20"/>
        <w:szCs w:val="20"/>
      </w:rPr>
      <w:tab/>
    </w:r>
    <w:r w:rsidR="00B015AE">
      <w:rPr>
        <w:sz w:val="20"/>
        <w:szCs w:val="20"/>
      </w:rPr>
      <w:t xml:space="preserve">        </w:t>
    </w:r>
    <w:r w:rsidR="00B015AE">
      <w:rPr>
        <w:sz w:val="20"/>
        <w:szCs w:val="20"/>
      </w:rPr>
      <w:tab/>
    </w:r>
    <w:r w:rsidR="00B015AE">
      <w:rPr>
        <w:sz w:val="20"/>
        <w:szCs w:val="20"/>
      </w:rPr>
      <w:tab/>
    </w:r>
    <w:r w:rsidR="00B015AE">
      <w:rPr>
        <w:sz w:val="20"/>
        <w:szCs w:val="20"/>
      </w:rPr>
      <w:tab/>
    </w:r>
    <w:r w:rsidR="00B015AE">
      <w:rPr>
        <w:sz w:val="20"/>
        <w:szCs w:val="20"/>
      </w:rPr>
      <w:tab/>
    </w:r>
    <w:r w:rsidR="005F6888" w:rsidRPr="00496045">
      <w:rPr>
        <w:sz w:val="20"/>
        <w:szCs w:val="20"/>
      </w:rPr>
      <w:t xml:space="preserve">Page | </w:t>
    </w:r>
    <w:r w:rsidR="00874CF6" w:rsidRPr="00496045">
      <w:rPr>
        <w:sz w:val="20"/>
        <w:szCs w:val="20"/>
      </w:rPr>
      <w:fldChar w:fldCharType="begin"/>
    </w:r>
    <w:r w:rsidR="00874CF6" w:rsidRPr="00496045">
      <w:rPr>
        <w:sz w:val="20"/>
        <w:szCs w:val="20"/>
      </w:rPr>
      <w:instrText xml:space="preserve"> PAGE   \* MERGEFORMAT </w:instrText>
    </w:r>
    <w:r w:rsidR="00874CF6" w:rsidRPr="00496045">
      <w:rPr>
        <w:sz w:val="20"/>
        <w:szCs w:val="20"/>
      </w:rPr>
      <w:fldChar w:fldCharType="separate"/>
    </w:r>
    <w:r w:rsidR="00874CF6" w:rsidRPr="00496045">
      <w:rPr>
        <w:noProof/>
        <w:sz w:val="20"/>
        <w:szCs w:val="20"/>
      </w:rPr>
      <w:t>1</w:t>
    </w:r>
    <w:r w:rsidR="00874CF6" w:rsidRPr="0049604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7373" w14:textId="4B1A3C94" w:rsidR="001A5017" w:rsidRDefault="00874CF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4C05" w14:textId="77777777" w:rsidR="00C01B40" w:rsidRDefault="00C01B40" w:rsidP="00DE7652">
      <w:pPr>
        <w:spacing w:after="0" w:line="240" w:lineRule="auto"/>
      </w:pPr>
      <w:r>
        <w:separator/>
      </w:r>
    </w:p>
  </w:footnote>
  <w:footnote w:type="continuationSeparator" w:id="0">
    <w:p w14:paraId="458444E0" w14:textId="77777777" w:rsidR="00C01B40" w:rsidRDefault="00C01B40"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85EC3"/>
    <w:rsid w:val="000D38AD"/>
    <w:rsid w:val="001352CF"/>
    <w:rsid w:val="00181D2A"/>
    <w:rsid w:val="001A069B"/>
    <w:rsid w:val="001A5017"/>
    <w:rsid w:val="001E29F1"/>
    <w:rsid w:val="00206023"/>
    <w:rsid w:val="00230F8D"/>
    <w:rsid w:val="00240581"/>
    <w:rsid w:val="00255BA0"/>
    <w:rsid w:val="002622E5"/>
    <w:rsid w:val="00275A5B"/>
    <w:rsid w:val="0029637E"/>
    <w:rsid w:val="002A5831"/>
    <w:rsid w:val="002B2C13"/>
    <w:rsid w:val="002F00C6"/>
    <w:rsid w:val="0030019F"/>
    <w:rsid w:val="0031070A"/>
    <w:rsid w:val="003D2BFF"/>
    <w:rsid w:val="003E2C36"/>
    <w:rsid w:val="003F4476"/>
    <w:rsid w:val="004176D8"/>
    <w:rsid w:val="0045145C"/>
    <w:rsid w:val="00480130"/>
    <w:rsid w:val="00496045"/>
    <w:rsid w:val="0049607B"/>
    <w:rsid w:val="004A1E05"/>
    <w:rsid w:val="004C4F24"/>
    <w:rsid w:val="004F1AB3"/>
    <w:rsid w:val="005A1A67"/>
    <w:rsid w:val="005A4BFC"/>
    <w:rsid w:val="005D047F"/>
    <w:rsid w:val="005F109F"/>
    <w:rsid w:val="005F6888"/>
    <w:rsid w:val="006522BA"/>
    <w:rsid w:val="006C595E"/>
    <w:rsid w:val="006E13E7"/>
    <w:rsid w:val="00732864"/>
    <w:rsid w:val="00763BF3"/>
    <w:rsid w:val="007A0BF9"/>
    <w:rsid w:val="007D4D57"/>
    <w:rsid w:val="007F0D0F"/>
    <w:rsid w:val="007F7ED1"/>
    <w:rsid w:val="00837AB2"/>
    <w:rsid w:val="00874CF6"/>
    <w:rsid w:val="008C5F2B"/>
    <w:rsid w:val="008D704C"/>
    <w:rsid w:val="009071FE"/>
    <w:rsid w:val="00945CB8"/>
    <w:rsid w:val="009A201B"/>
    <w:rsid w:val="009A3EF6"/>
    <w:rsid w:val="009B2B8E"/>
    <w:rsid w:val="009B3C2E"/>
    <w:rsid w:val="009B472F"/>
    <w:rsid w:val="009B49C9"/>
    <w:rsid w:val="009B624E"/>
    <w:rsid w:val="009E4DCF"/>
    <w:rsid w:val="00A07107"/>
    <w:rsid w:val="00A738AA"/>
    <w:rsid w:val="00A75FC3"/>
    <w:rsid w:val="00AA683F"/>
    <w:rsid w:val="00AB684E"/>
    <w:rsid w:val="00AD5385"/>
    <w:rsid w:val="00B015AE"/>
    <w:rsid w:val="00B06A82"/>
    <w:rsid w:val="00B33B2C"/>
    <w:rsid w:val="00B33DC6"/>
    <w:rsid w:val="00B403D7"/>
    <w:rsid w:val="00BF26B9"/>
    <w:rsid w:val="00C01B40"/>
    <w:rsid w:val="00C33107"/>
    <w:rsid w:val="00C45D06"/>
    <w:rsid w:val="00C63E53"/>
    <w:rsid w:val="00C7088A"/>
    <w:rsid w:val="00CF07E1"/>
    <w:rsid w:val="00CF26C4"/>
    <w:rsid w:val="00D52D4A"/>
    <w:rsid w:val="00D90EC2"/>
    <w:rsid w:val="00DE7652"/>
    <w:rsid w:val="00DF38D5"/>
    <w:rsid w:val="00E20217"/>
    <w:rsid w:val="00E631D6"/>
    <w:rsid w:val="00E84048"/>
    <w:rsid w:val="00E96BA5"/>
    <w:rsid w:val="00EB28DC"/>
    <w:rsid w:val="00EB5BF0"/>
    <w:rsid w:val="00ED0187"/>
    <w:rsid w:val="00ED76FF"/>
    <w:rsid w:val="00F35DD6"/>
    <w:rsid w:val="00FB39A1"/>
    <w:rsid w:val="00FC3E2A"/>
    <w:rsid w:val="00FD3A47"/>
    <w:rsid w:val="00FD6A12"/>
    <w:rsid w:val="00FE1AD0"/>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notice-safeguards/" TargetMode="External"/><Relationship Id="rId18" Type="http://schemas.openxmlformats.org/officeDocument/2006/relationships/hyperlink" Target="https://www.parentcenterhub.org/find-your-cen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ites.ed.gov/idea/files/modelform_Procedural_Safeguards_June_2009.pdf" TargetMode="External"/><Relationship Id="rId2" Type="http://schemas.openxmlformats.org/officeDocument/2006/relationships/customXml" Target="../customXml/item2.xml"/><Relationship Id="rId16" Type="http://schemas.openxmlformats.org/officeDocument/2006/relationships/hyperlink" Target="https://sites.ed.gov/idea/files/modelform_Procedural_Safeguards_June_2009.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1F3B0-ABEB-4112-838A-F0950CE9F618}">
  <ds:schemaRefs>
    <ds:schemaRef ds:uri="http://schemas.openxmlformats.org/officeDocument/2006/bibliography"/>
  </ds:schemaRefs>
</ds:datastoreItem>
</file>

<file path=customXml/itemProps3.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4.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61</cp:revision>
  <cp:lastPrinted>2020-07-07T21:37:00Z</cp:lastPrinted>
  <dcterms:created xsi:type="dcterms:W3CDTF">2020-07-21T19:07:00Z</dcterms:created>
  <dcterms:modified xsi:type="dcterms:W3CDTF">2021-08-12T18:24:00Z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