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87" w:rsidRPr="00412E8E" w:rsidRDefault="005A2987" w:rsidP="005A2987">
      <w:pPr>
        <w:pStyle w:val="Heading2"/>
        <w:jc w:val="center"/>
        <w:rPr>
          <w:rFonts w:asciiTheme="minorHAnsi" w:hAnsiTheme="minorHAnsi" w:cstheme="minorHAnsi"/>
          <w:i/>
          <w:color w:val="2F528F"/>
          <w:sz w:val="52"/>
          <w:szCs w:val="24"/>
        </w:rPr>
      </w:pPr>
      <w:r w:rsidRPr="00412E8E">
        <w:rPr>
          <w:rStyle w:val="Strong"/>
          <w:rFonts w:asciiTheme="minorHAnsi" w:hAnsiTheme="minorHAnsi" w:cstheme="minorHAnsi"/>
          <w:bCs w:val="0"/>
          <w:i/>
          <w:color w:val="2F528F"/>
          <w:sz w:val="52"/>
          <w:szCs w:val="24"/>
        </w:rPr>
        <w:t>Potential Partners</w:t>
      </w:r>
    </w:p>
    <w:p w:rsidR="005A2987" w:rsidRPr="008A6522" w:rsidRDefault="005A2987" w:rsidP="005A2987">
      <w:pPr>
        <w:pStyle w:val="NormalWeb"/>
        <w:rPr>
          <w:rFonts w:asciiTheme="minorHAnsi" w:hAnsiTheme="minorHAnsi" w:cstheme="minorHAnsi"/>
          <w:b/>
        </w:rPr>
      </w:pPr>
      <w:r w:rsidRPr="008A6522">
        <w:rPr>
          <w:rStyle w:val="Strong"/>
          <w:rFonts w:asciiTheme="minorHAnsi" w:hAnsiTheme="minorHAnsi" w:cstheme="minorHAnsi"/>
          <w:b w:val="0"/>
        </w:rPr>
        <w:t>Developing traditional and non-traditional partnerships to advance or begin work with justice-involved youth in each state requires active outreach. This document</w:t>
      </w:r>
      <w:r>
        <w:rPr>
          <w:rStyle w:val="Strong"/>
          <w:rFonts w:asciiTheme="minorHAnsi" w:hAnsiTheme="minorHAnsi" w:cstheme="minorHAnsi"/>
          <w:b w:val="0"/>
        </w:rPr>
        <w:t>, created by participants in the Juvenile Justice workshop at the Parent Center Boot Camp 2017,</w:t>
      </w:r>
      <w:r w:rsidRPr="008A6522">
        <w:rPr>
          <w:rStyle w:val="Strong"/>
          <w:rFonts w:asciiTheme="minorHAnsi" w:hAnsiTheme="minorHAnsi" w:cstheme="minorHAnsi"/>
          <w:b w:val="0"/>
        </w:rPr>
        <w:t xml:space="preserve"> lists potential partners for staff to reach out to for both resources and collaboration.</w:t>
      </w:r>
    </w:p>
    <w:p w:rsidR="005A2987" w:rsidRPr="00AA1753" w:rsidRDefault="005A2987" w:rsidP="005A2987">
      <w:pPr>
        <w:pStyle w:val="NormalWeb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Parent Centers should fill in as much contact information as they can for each group in their state. They can then contact these partners for resources, support, and other coalition-building. 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National Organizations</w:t>
      </w:r>
    </w:p>
    <w:p w:rsidR="008E539F" w:rsidRPr="008E539F" w:rsidRDefault="008E539F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Juvenile Justice and Delinquency Prevention (</w:t>
      </w:r>
      <w:hyperlink r:id="rId7" w:history="1">
        <w:r w:rsidRPr="008E539F">
          <w:rPr>
            <w:rStyle w:val="Hyperlink"/>
            <w:rFonts w:asciiTheme="minorHAnsi" w:hAnsiTheme="minorHAnsi" w:cstheme="minorHAnsi"/>
            <w:b/>
            <w:color w:val="0000FF"/>
          </w:rPr>
          <w:t>ojjdp.gov</w:t>
        </w:r>
      </w:hyperlink>
      <w:r>
        <w:rPr>
          <w:rFonts w:asciiTheme="minorHAnsi" w:hAnsiTheme="minorHAnsi" w:cstheme="minorHAnsi"/>
        </w:rPr>
        <w:t>)</w:t>
      </w:r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National Juvenile Justice Network (</w:t>
      </w:r>
      <w:hyperlink r:id="rId8" w:history="1">
        <w:r w:rsidRPr="00AA1753">
          <w:rPr>
            <w:rStyle w:val="Strong"/>
            <w:rFonts w:asciiTheme="minorHAnsi" w:hAnsiTheme="minorHAnsi" w:cstheme="minorHAnsi"/>
            <w:color w:val="0000FF"/>
            <w:u w:val="single"/>
          </w:rPr>
          <w:t>njjn.org</w:t>
        </w:r>
      </w:hyperlink>
      <w:r w:rsidRPr="00AA1753">
        <w:rPr>
          <w:rFonts w:asciiTheme="minorHAnsi" w:hAnsiTheme="minorHAnsi" w:cstheme="minorHAnsi"/>
        </w:rPr>
        <w:t>)</w:t>
      </w:r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American Civil Liberties Union (</w:t>
      </w:r>
      <w:hyperlink r:id="rId9" w:history="1">
        <w:r w:rsidRPr="00AA1753">
          <w:rPr>
            <w:rStyle w:val="Strong"/>
            <w:rFonts w:asciiTheme="minorHAnsi" w:hAnsiTheme="minorHAnsi" w:cstheme="minorHAnsi"/>
            <w:color w:val="0000FF"/>
            <w:u w:val="single"/>
          </w:rPr>
          <w:t>aclu.org</w:t>
        </w:r>
      </w:hyperlink>
      <w:r w:rsidRPr="00AA1753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National Association for the Advancement of Colored People (</w:t>
      </w:r>
      <w:hyperlink r:id="rId10" w:history="1">
        <w:r w:rsidRPr="00AA1753">
          <w:rPr>
            <w:rStyle w:val="Strong"/>
            <w:rFonts w:asciiTheme="minorHAnsi" w:hAnsiTheme="minorHAnsi" w:cstheme="minorHAnsi"/>
            <w:color w:val="0000FF"/>
            <w:u w:val="single"/>
          </w:rPr>
          <w:t>naacp.org</w:t>
        </w:r>
      </w:hyperlink>
      <w:r w:rsidRPr="00AA1753">
        <w:rPr>
          <w:rFonts w:asciiTheme="minorHAnsi" w:hAnsiTheme="minorHAnsi" w:cstheme="minorHAnsi"/>
        </w:rPr>
        <w:t>)</w:t>
      </w:r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National Association of School Resource Officers (</w:t>
      </w:r>
      <w:hyperlink r:id="rId11" w:history="1">
        <w:r w:rsidRPr="00AA1753">
          <w:rPr>
            <w:rStyle w:val="Strong"/>
            <w:rFonts w:asciiTheme="minorHAnsi" w:hAnsiTheme="minorHAnsi" w:cstheme="minorHAnsi"/>
            <w:color w:val="0000FF"/>
            <w:u w:val="single"/>
          </w:rPr>
          <w:t>nasro.org</w:t>
        </w:r>
      </w:hyperlink>
      <w:r w:rsidRPr="00AA1753">
        <w:rPr>
          <w:rFonts w:asciiTheme="minorHAnsi" w:hAnsiTheme="minorHAnsi" w:cstheme="minorHAnsi"/>
        </w:rPr>
        <w:t>)</w:t>
      </w:r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The ARC National Center on Criminal Justice &amp; Disability (</w:t>
      </w:r>
      <w:hyperlink r:id="rId12" w:history="1">
        <w:r w:rsidRPr="00AA1753">
          <w:rPr>
            <w:rStyle w:val="Strong"/>
            <w:rFonts w:asciiTheme="minorHAnsi" w:hAnsiTheme="minorHAnsi" w:cstheme="minorHAnsi"/>
            <w:color w:val="0000FF"/>
            <w:u w:val="single"/>
          </w:rPr>
          <w:t>thearc.org/NCCJD</w:t>
        </w:r>
      </w:hyperlink>
      <w:r w:rsidRPr="00AA1753">
        <w:rPr>
          <w:rFonts w:asciiTheme="minorHAnsi" w:hAnsiTheme="minorHAnsi" w:cstheme="minorHAnsi"/>
        </w:rPr>
        <w:t>)</w:t>
      </w:r>
    </w:p>
    <w:p w:rsidR="005A2987" w:rsidRPr="00AA1753" w:rsidRDefault="005A2987" w:rsidP="003B4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Style w:val="Emphasis"/>
          <w:rFonts w:asciiTheme="minorHAnsi" w:hAnsiTheme="minorHAnsi" w:cstheme="minorHAnsi"/>
        </w:rPr>
        <w:t>Other protection and advocacy/disability rights organizations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Local/State Government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Child welfare/foster care agencies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County or state office of education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Juvenile justice commissions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Juvenile justice task forces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Vocation rehabilitation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Behavioral health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Mental health agency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Tribal councils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State stakeholder groups for systems changes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Title 8, part D liaisons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State superintendents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Local legislators</w:t>
      </w:r>
    </w:p>
    <w:p w:rsidR="005A2987" w:rsidRPr="00AA1753" w:rsidRDefault="005A2987" w:rsidP="003B4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State level commissions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lastRenderedPageBreak/>
        <w:t>Law Enforcement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State department of Juvenile Justice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Police departments/local courthouses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Probation/diversion offices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Chief probation officer of county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SEA/Corrections (department of youth services)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Correctional complex administration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Department of Corrections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Correctional Officer Regional Meetings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Direct relationships with different people in court system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Judges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Probation officers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Advocates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Lawyers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District attorneys</w:t>
      </w:r>
    </w:p>
    <w:p w:rsidR="005A2987" w:rsidRPr="00AA1753" w:rsidRDefault="005A2987" w:rsidP="003B45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Public Defenders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Captains of county jails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Office of defendant general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Diversion officers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Parole and probation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Police training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Truancy courts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Agency advisory boards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Division of youth rehabilitation services</w:t>
      </w:r>
    </w:p>
    <w:p w:rsidR="005A2987" w:rsidRPr="00AA1753" w:rsidRDefault="005A2987" w:rsidP="003B4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Community of care commissions focused on at-risk youth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Local/Community-Based Organizations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Workshops for group/residential homes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Foundations (funding)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Local business owners (employment)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Mental health advocacy groups (ex.: NAMI, FFCMH)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Sensitivity and/or trauma training partners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Identify then meet with Juvenile Advisory Committee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Youth groups that represent the perspective of youth who have been through the system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lastRenderedPageBreak/>
        <w:t>Coalition of partners for justice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Task forces</w:t>
      </w:r>
    </w:p>
    <w:p w:rsidR="005A2987" w:rsidRPr="00AA1753" w:rsidRDefault="005A2987" w:rsidP="003B4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Dropout prevention groups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Educational Institutions</w:t>
      </w:r>
    </w:p>
    <w:p w:rsidR="005A2987" w:rsidRPr="00AA1753" w:rsidRDefault="005A2987" w:rsidP="003B4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Schools and districts</w:t>
      </w:r>
    </w:p>
    <w:p w:rsidR="005A2987" w:rsidRPr="00AA1753" w:rsidRDefault="005A2987" w:rsidP="003B4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Schools within detention centers</w:t>
      </w:r>
    </w:p>
    <w:p w:rsidR="005A2987" w:rsidRPr="00AA1753" w:rsidRDefault="005A2987" w:rsidP="003B4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Criminal justice departments at universities</w:t>
      </w:r>
    </w:p>
    <w:p w:rsidR="005A2987" w:rsidRPr="00AA1753" w:rsidRDefault="005A2987" w:rsidP="003B4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School Resource Officers (SROs)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Health Institutions</w:t>
      </w:r>
    </w:p>
    <w:p w:rsidR="005A2987" w:rsidRPr="00AA1753" w:rsidRDefault="005A2987" w:rsidP="003B4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Hospitals</w:t>
      </w:r>
    </w:p>
    <w:p w:rsidR="005A2987" w:rsidRPr="00AA1753" w:rsidRDefault="005A2987" w:rsidP="003B4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Mental health centers</w:t>
      </w:r>
    </w:p>
    <w:p w:rsidR="005A2987" w:rsidRPr="00AA1753" w:rsidRDefault="005A2987" w:rsidP="003B4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Doctors/hospital social workers</w:t>
      </w:r>
    </w:p>
    <w:p w:rsidR="005A2987" w:rsidRPr="00AA1753" w:rsidRDefault="005A2987" w:rsidP="005A2987">
      <w:pPr>
        <w:pStyle w:val="Heading4"/>
        <w:rPr>
          <w:rFonts w:asciiTheme="minorHAnsi" w:hAnsiTheme="minorHAnsi" w:cstheme="minorHAnsi"/>
          <w:i w:val="0"/>
          <w:color w:val="auto"/>
        </w:rPr>
      </w:pPr>
      <w:r w:rsidRPr="00AA1753">
        <w:rPr>
          <w:rStyle w:val="Strong"/>
          <w:rFonts w:asciiTheme="minorHAnsi" w:hAnsiTheme="minorHAnsi" w:cstheme="minorHAnsi"/>
          <w:bCs w:val="0"/>
          <w:i w:val="0"/>
          <w:color w:val="auto"/>
          <w:u w:val="single"/>
        </w:rPr>
        <w:t>Other Organizations</w:t>
      </w:r>
    </w:p>
    <w:p w:rsidR="005A2987" w:rsidRPr="00AA1753" w:rsidRDefault="005A2987" w:rsidP="003B45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1753">
        <w:rPr>
          <w:rFonts w:asciiTheme="minorHAnsi" w:hAnsiTheme="minorHAnsi" w:cstheme="minorHAnsi"/>
        </w:rPr>
        <w:t>ARC (state/county)</w:t>
      </w:r>
    </w:p>
    <w:p w:rsidR="00652CFD" w:rsidRPr="00077A12" w:rsidRDefault="005A2987" w:rsidP="003B45D2">
      <w:pPr>
        <w:numPr>
          <w:ilvl w:val="0"/>
          <w:numId w:val="8"/>
        </w:numPr>
        <w:spacing w:before="100" w:beforeAutospacing="1" w:after="100" w:afterAutospacing="1" w:line="24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AA1753">
        <w:rPr>
          <w:rFonts w:asciiTheme="minorHAnsi" w:hAnsiTheme="minorHAnsi" w:cstheme="minorHAnsi"/>
        </w:rPr>
        <w:t>Churches and faith based organizations</w:t>
      </w:r>
    </w:p>
    <w:sectPr w:rsidR="00652CFD" w:rsidRPr="00077A12" w:rsidSect="00C31FE5">
      <w:headerReference w:type="default" r:id="rId13"/>
      <w:footerReference w:type="default" r:id="rId14"/>
      <w:pgSz w:w="12240" w:h="15840"/>
      <w:pgMar w:top="32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40" w:rsidRDefault="00454840" w:rsidP="009F644F">
      <w:pPr>
        <w:spacing w:after="0" w:line="240" w:lineRule="auto"/>
      </w:pPr>
      <w:r>
        <w:separator/>
      </w:r>
    </w:p>
  </w:endnote>
  <w:endnote w:type="continuationSeparator" w:id="0">
    <w:p w:rsidR="00454840" w:rsidRDefault="00454840" w:rsidP="009F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391160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9FC" w:rsidRPr="00330685" w:rsidRDefault="00E419FC" w:rsidP="00F9517E">
        <w:pPr>
          <w:pStyle w:val="Footer"/>
          <w:pBdr>
            <w:top w:val="thinThickSmallGap" w:sz="24" w:space="1" w:color="002060"/>
          </w:pBdr>
          <w:tabs>
            <w:tab w:val="clear" w:pos="9360"/>
          </w:tabs>
          <w:ind w:left="-540" w:right="-360"/>
          <w:jc w:val="center"/>
          <w:rPr>
            <w:rFonts w:asciiTheme="minorHAnsi" w:hAnsiTheme="minorHAnsi" w:cstheme="minorHAnsi"/>
            <w:sz w:val="20"/>
          </w:rPr>
        </w:pPr>
        <w:r w:rsidRPr="00330685">
          <w:rPr>
            <w:rFonts w:asciiTheme="minorHAnsi" w:hAnsiTheme="minorHAnsi" w:cstheme="minorHAnsi"/>
            <w:sz w:val="20"/>
          </w:rPr>
          <w:fldChar w:fldCharType="begin"/>
        </w:r>
        <w:r w:rsidRPr="00330685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330685">
          <w:rPr>
            <w:rFonts w:asciiTheme="minorHAnsi" w:hAnsiTheme="minorHAnsi" w:cstheme="minorHAnsi"/>
            <w:sz w:val="20"/>
          </w:rPr>
          <w:fldChar w:fldCharType="separate"/>
        </w:r>
        <w:r w:rsidR="003B45D2">
          <w:rPr>
            <w:rFonts w:asciiTheme="minorHAnsi" w:hAnsiTheme="minorHAnsi" w:cstheme="minorHAnsi"/>
            <w:noProof/>
            <w:sz w:val="20"/>
          </w:rPr>
          <w:t>3</w:t>
        </w:r>
        <w:r w:rsidRPr="00330685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:rsidR="00CA1F56" w:rsidRDefault="00CA1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40" w:rsidRDefault="00454840" w:rsidP="009F644F">
      <w:pPr>
        <w:spacing w:after="0" w:line="240" w:lineRule="auto"/>
      </w:pPr>
      <w:r>
        <w:separator/>
      </w:r>
    </w:p>
  </w:footnote>
  <w:footnote w:type="continuationSeparator" w:id="0">
    <w:p w:rsidR="00454840" w:rsidRDefault="00454840" w:rsidP="009F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FC" w:rsidRPr="006C039A" w:rsidRDefault="00C31FE5" w:rsidP="00CD7C79">
    <w:pPr>
      <w:tabs>
        <w:tab w:val="left" w:pos="1815"/>
      </w:tabs>
      <w:spacing w:after="0" w:line="240" w:lineRule="auto"/>
      <w:ind w:left="-360" w:right="-360" w:firstLine="540"/>
      <w:rPr>
        <w:rFonts w:ascii="Rockwell" w:hAnsi="Rockwell" w:cstheme="minorHAnsi"/>
        <w:b/>
        <w:sz w:val="20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-66675</wp:posOffset>
              </wp:positionV>
              <wp:extent cx="6915150" cy="1181100"/>
              <wp:effectExtent l="38100" t="38100" r="38100" b="38100"/>
              <wp:wrapNone/>
              <wp:docPr id="1" name="Rectangle: Top Corners Round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1181100"/>
                      </a:xfrm>
                      <a:prstGeom prst="round2SameRect">
                        <a:avLst/>
                      </a:prstGeom>
                      <a:noFill/>
                      <a:ln w="76200" cap="rnd" cmpd="thinThick">
                        <a:solidFill>
                          <a:srgbClr val="002060"/>
                        </a:solidFill>
                        <a:prstDash val="solid"/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94" id="Rectangle: Top Corners Rounded 1" o:spid="_x0000_s1026" style="position:absolute;margin-left:-37.5pt;margin-top:-5.25pt;width:544.5pt;height: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515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" path="m196854,l6718296,v108719,,196854,88135,196854,196854l6915150,1181100r,l,1181100r,l,196854c,88135,88135,,196854,xe" filled="f" strokecolor="#002060" strokeweight="6pt">
              <v:stroke linestyle="thinThick" endcap="round"/>
              <v:path arrowok="t" o:connecttype="custom" o:connectlocs="196854,0;6718296,0;6915150,196854;6915150,1181100;6915150,1181100;0,1181100;0,1181100;0,196854;196854,0" o:connectangles="0,0,0,0,0,0,0,0,0"/>
            </v:shape>
          </w:pict>
        </mc:Fallback>
      </mc:AlternateContent>
    </w:r>
    <w:r w:rsidR="00E419FC" w:rsidRPr="00907E24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529B2E83" wp14:editId="26544549">
          <wp:simplePos x="0" y="0"/>
          <wp:positionH relativeFrom="column">
            <wp:posOffset>4177030</wp:posOffset>
          </wp:positionH>
          <wp:positionV relativeFrom="page">
            <wp:posOffset>572770</wp:posOffset>
          </wp:positionV>
          <wp:extent cx="1771650" cy="825500"/>
          <wp:effectExtent l="0" t="0" r="0" b="0"/>
          <wp:wrapNone/>
          <wp:docPr id="15" name="Picture 15" descr="Center for Parent Information &amp; Resources logo" title="Center for Parent Information &amp;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ir logo-no bkg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39A">
      <w:rPr>
        <w:rFonts w:ascii="Rockwell" w:hAnsi="Rockwell" w:cstheme="minorHAnsi"/>
        <w:b/>
        <w:sz w:val="40"/>
      </w:rPr>
      <w:tab/>
    </w:r>
  </w:p>
  <w:p w:rsidR="00E419FC" w:rsidRPr="006C039A" w:rsidRDefault="00E419FC" w:rsidP="00CD7C79">
    <w:pPr>
      <w:spacing w:before="360" w:after="0" w:line="240" w:lineRule="auto"/>
      <w:ind w:left="-360" w:right="-360" w:firstLine="540"/>
      <w:rPr>
        <w:rFonts w:asciiTheme="minorHAnsi" w:hAnsiTheme="minorHAnsi" w:cstheme="minorHAnsi"/>
        <w:color w:val="738735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</w:pPr>
    <w:r w:rsidRPr="006C039A">
      <w:rPr>
        <w:rFonts w:ascii="Rockwell" w:hAnsi="Rockwell" w:cstheme="minorHAnsi"/>
        <w:color w:val="738735"/>
        <w:spacing w:val="20"/>
        <w:sz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noFill/>
          <w14:prstDash w14:val="solid"/>
          <w14:round/>
        </w14:textOutline>
      </w:rPr>
      <w:t xml:space="preserve">Juvenile Justice Toolkit </w:t>
    </w:r>
  </w:p>
  <w:p w:rsidR="00CA1F56" w:rsidRDefault="00CA1F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3C8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7366C"/>
    <w:multiLevelType w:val="multilevel"/>
    <w:tmpl w:val="1BA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6AF1"/>
    <w:multiLevelType w:val="multilevel"/>
    <w:tmpl w:val="E84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C1081"/>
    <w:multiLevelType w:val="multilevel"/>
    <w:tmpl w:val="9F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3D3C"/>
    <w:multiLevelType w:val="multilevel"/>
    <w:tmpl w:val="CDE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72539"/>
    <w:multiLevelType w:val="multilevel"/>
    <w:tmpl w:val="82A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47515"/>
    <w:multiLevelType w:val="multilevel"/>
    <w:tmpl w:val="D38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02F49"/>
    <w:multiLevelType w:val="multilevel"/>
    <w:tmpl w:val="968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9F"/>
    <w:rsid w:val="0001429A"/>
    <w:rsid w:val="00022849"/>
    <w:rsid w:val="00033911"/>
    <w:rsid w:val="00041F8D"/>
    <w:rsid w:val="00053478"/>
    <w:rsid w:val="0005679D"/>
    <w:rsid w:val="000662A7"/>
    <w:rsid w:val="00077A12"/>
    <w:rsid w:val="0009094E"/>
    <w:rsid w:val="0009287E"/>
    <w:rsid w:val="000D5811"/>
    <w:rsid w:val="000E50D2"/>
    <w:rsid w:val="00137B0A"/>
    <w:rsid w:val="00156F80"/>
    <w:rsid w:val="001613E1"/>
    <w:rsid w:val="00185C32"/>
    <w:rsid w:val="00190125"/>
    <w:rsid w:val="00197100"/>
    <w:rsid w:val="001A584B"/>
    <w:rsid w:val="001A73F2"/>
    <w:rsid w:val="001B2D1B"/>
    <w:rsid w:val="001B55A5"/>
    <w:rsid w:val="001B6F4B"/>
    <w:rsid w:val="001C642C"/>
    <w:rsid w:val="001E2EDA"/>
    <w:rsid w:val="00202A36"/>
    <w:rsid w:val="00221280"/>
    <w:rsid w:val="00226FA1"/>
    <w:rsid w:val="002308F9"/>
    <w:rsid w:val="0023714A"/>
    <w:rsid w:val="00253E26"/>
    <w:rsid w:val="00285461"/>
    <w:rsid w:val="00294277"/>
    <w:rsid w:val="00295363"/>
    <w:rsid w:val="002D5733"/>
    <w:rsid w:val="002E2931"/>
    <w:rsid w:val="003238F1"/>
    <w:rsid w:val="00330685"/>
    <w:rsid w:val="00340980"/>
    <w:rsid w:val="00343723"/>
    <w:rsid w:val="00360E89"/>
    <w:rsid w:val="003814B2"/>
    <w:rsid w:val="003B45D2"/>
    <w:rsid w:val="003C048C"/>
    <w:rsid w:val="003C645F"/>
    <w:rsid w:val="003E0AC8"/>
    <w:rsid w:val="003F19F4"/>
    <w:rsid w:val="00412E8E"/>
    <w:rsid w:val="0043300D"/>
    <w:rsid w:val="00454840"/>
    <w:rsid w:val="00483BB2"/>
    <w:rsid w:val="004C491F"/>
    <w:rsid w:val="004D22AE"/>
    <w:rsid w:val="004D3CF1"/>
    <w:rsid w:val="00535DBB"/>
    <w:rsid w:val="00562C94"/>
    <w:rsid w:val="00574577"/>
    <w:rsid w:val="00590382"/>
    <w:rsid w:val="0059127C"/>
    <w:rsid w:val="005A2987"/>
    <w:rsid w:val="005B00E3"/>
    <w:rsid w:val="005C4EB9"/>
    <w:rsid w:val="005E7658"/>
    <w:rsid w:val="00622F0B"/>
    <w:rsid w:val="006272E4"/>
    <w:rsid w:val="00631085"/>
    <w:rsid w:val="00632E83"/>
    <w:rsid w:val="00652CFD"/>
    <w:rsid w:val="006B3F16"/>
    <w:rsid w:val="006C039A"/>
    <w:rsid w:val="006C4DC6"/>
    <w:rsid w:val="006C6C86"/>
    <w:rsid w:val="006D098F"/>
    <w:rsid w:val="006D18A8"/>
    <w:rsid w:val="006F049F"/>
    <w:rsid w:val="006F7129"/>
    <w:rsid w:val="00704B3F"/>
    <w:rsid w:val="00737CF3"/>
    <w:rsid w:val="007708B7"/>
    <w:rsid w:val="00771236"/>
    <w:rsid w:val="0077125D"/>
    <w:rsid w:val="00771912"/>
    <w:rsid w:val="00780237"/>
    <w:rsid w:val="007812AF"/>
    <w:rsid w:val="007A7A11"/>
    <w:rsid w:val="007F40AA"/>
    <w:rsid w:val="007F7564"/>
    <w:rsid w:val="00801721"/>
    <w:rsid w:val="00817B9F"/>
    <w:rsid w:val="00895CF7"/>
    <w:rsid w:val="008E539F"/>
    <w:rsid w:val="008F286C"/>
    <w:rsid w:val="0091520D"/>
    <w:rsid w:val="00915D7D"/>
    <w:rsid w:val="009231F1"/>
    <w:rsid w:val="00937EB5"/>
    <w:rsid w:val="009563C5"/>
    <w:rsid w:val="0097126C"/>
    <w:rsid w:val="00980DFE"/>
    <w:rsid w:val="00983937"/>
    <w:rsid w:val="00984D76"/>
    <w:rsid w:val="009972EA"/>
    <w:rsid w:val="009E4C39"/>
    <w:rsid w:val="009E577D"/>
    <w:rsid w:val="009F644F"/>
    <w:rsid w:val="00A3598F"/>
    <w:rsid w:val="00A80BC9"/>
    <w:rsid w:val="00A86C03"/>
    <w:rsid w:val="00A94E6C"/>
    <w:rsid w:val="00AB07E0"/>
    <w:rsid w:val="00AD1A8B"/>
    <w:rsid w:val="00AD7357"/>
    <w:rsid w:val="00AF3B22"/>
    <w:rsid w:val="00B013B2"/>
    <w:rsid w:val="00B10E0F"/>
    <w:rsid w:val="00B141CB"/>
    <w:rsid w:val="00B14696"/>
    <w:rsid w:val="00B2739E"/>
    <w:rsid w:val="00B321D9"/>
    <w:rsid w:val="00B645F1"/>
    <w:rsid w:val="00B96F8A"/>
    <w:rsid w:val="00BC22AC"/>
    <w:rsid w:val="00BD09C1"/>
    <w:rsid w:val="00BF7799"/>
    <w:rsid w:val="00C10516"/>
    <w:rsid w:val="00C12385"/>
    <w:rsid w:val="00C27B67"/>
    <w:rsid w:val="00C31FE5"/>
    <w:rsid w:val="00C57F36"/>
    <w:rsid w:val="00C669F6"/>
    <w:rsid w:val="00C86DE9"/>
    <w:rsid w:val="00C9725C"/>
    <w:rsid w:val="00CA1F56"/>
    <w:rsid w:val="00CB01D8"/>
    <w:rsid w:val="00CB5AFD"/>
    <w:rsid w:val="00CD0EED"/>
    <w:rsid w:val="00CD7C79"/>
    <w:rsid w:val="00CE7565"/>
    <w:rsid w:val="00D05738"/>
    <w:rsid w:val="00D20DF6"/>
    <w:rsid w:val="00D24864"/>
    <w:rsid w:val="00D37462"/>
    <w:rsid w:val="00D528FE"/>
    <w:rsid w:val="00D57611"/>
    <w:rsid w:val="00DC3BCB"/>
    <w:rsid w:val="00DE2C42"/>
    <w:rsid w:val="00DE50B1"/>
    <w:rsid w:val="00E039AB"/>
    <w:rsid w:val="00E12B8A"/>
    <w:rsid w:val="00E17308"/>
    <w:rsid w:val="00E3773B"/>
    <w:rsid w:val="00E419FC"/>
    <w:rsid w:val="00E50CD5"/>
    <w:rsid w:val="00E6352C"/>
    <w:rsid w:val="00EA0C57"/>
    <w:rsid w:val="00F03D7D"/>
    <w:rsid w:val="00F16F60"/>
    <w:rsid w:val="00F63EB3"/>
    <w:rsid w:val="00F9517E"/>
    <w:rsid w:val="00F96AA7"/>
    <w:rsid w:val="00FA46CF"/>
    <w:rsid w:val="00FB6801"/>
    <w:rsid w:val="00FF4EC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C2A2A"/>
  <w15:chartTrackingRefBased/>
  <w15:docId w15:val="{1EAAB1CC-D5FF-4EE9-93DD-E54B03DC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87"/>
  </w:style>
  <w:style w:type="paragraph" w:styleId="Heading1">
    <w:name w:val="heading 1"/>
    <w:basedOn w:val="Normal"/>
    <w:link w:val="Heading1Char"/>
    <w:uiPriority w:val="9"/>
    <w:qFormat/>
    <w:rsid w:val="00652C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ECA"/>
    <w:rPr>
      <w:color w:val="808080"/>
      <w:shd w:val="clear" w:color="auto" w:fill="E6E6E6"/>
    </w:rPr>
  </w:style>
  <w:style w:type="paragraph" w:styleId="ListBullet">
    <w:name w:val="List Bullet"/>
    <w:basedOn w:val="Normal"/>
    <w:rsid w:val="007F40AA"/>
    <w:pPr>
      <w:numPr>
        <w:numId w:val="1"/>
      </w:num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4F"/>
  </w:style>
  <w:style w:type="paragraph" w:styleId="Footer">
    <w:name w:val="footer"/>
    <w:basedOn w:val="Normal"/>
    <w:link w:val="FooterChar"/>
    <w:uiPriority w:val="99"/>
    <w:unhideWhenUsed/>
    <w:rsid w:val="009F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4F"/>
  </w:style>
  <w:style w:type="character" w:styleId="FollowedHyperlink">
    <w:name w:val="FollowedHyperlink"/>
    <w:basedOn w:val="DefaultParagraphFont"/>
    <w:uiPriority w:val="99"/>
    <w:semiHidden/>
    <w:unhideWhenUsed/>
    <w:rsid w:val="00652C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CFD"/>
    <w:rPr>
      <w:rFonts w:eastAsia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83BB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7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AB07E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B07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A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jn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jjdp.gov/" TargetMode="External"/><Relationship Id="rId12" Type="http://schemas.openxmlformats.org/officeDocument/2006/relationships/hyperlink" Target="http://www.thearc.org/NCCJ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sro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aac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lu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Wilson</dc:creator>
  <cp:keywords/>
  <dc:description/>
  <cp:lastModifiedBy>j w</cp:lastModifiedBy>
  <cp:revision>8</cp:revision>
  <dcterms:created xsi:type="dcterms:W3CDTF">2017-12-05T16:25:00Z</dcterms:created>
  <dcterms:modified xsi:type="dcterms:W3CDTF">2018-09-18T12:02:00Z</dcterms:modified>
  <cp:contentStatus/>
</cp:coreProperties>
</file>