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DB" w:rsidRDefault="004201DB">
      <w:pPr>
        <w:pStyle w:val="Title"/>
        <w:rPr>
          <w:rFonts w:ascii="Candara" w:hAnsi="Candara"/>
          <w:smallCaps/>
          <w:sz w:val="40"/>
          <w:szCs w:val="40"/>
        </w:rPr>
      </w:pPr>
      <w:bookmarkStart w:id="1" w:name="_Hlk479672135"/>
    </w:p>
    <w:p w:rsidR="00792633" w:rsidRPr="004201DB" w:rsidRDefault="00DE71E3">
      <w:pPr>
        <w:pStyle w:val="Title"/>
        <w:rPr>
          <w:sz w:val="24"/>
          <w:szCs w:val="24"/>
        </w:rPr>
      </w:pPr>
      <w:r w:rsidRPr="00DA6522">
        <w:rPr>
          <w:i/>
          <w:noProof/>
        </w:rPr>
        <w:drawing>
          <wp:anchor distT="0" distB="0" distL="114300" distR="114300" simplePos="0" relativeHeight="251652096" behindDoc="0" locked="0" layoutInCell="1" allowOverlap="1">
            <wp:simplePos x="0" y="0"/>
            <wp:positionH relativeFrom="column">
              <wp:posOffset>4187190</wp:posOffset>
            </wp:positionH>
            <wp:positionV relativeFrom="page">
              <wp:posOffset>1152525</wp:posOffset>
            </wp:positionV>
            <wp:extent cx="1971675" cy="9191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919170"/>
                    </a:xfrm>
                    <a:prstGeom prst="rect">
                      <a:avLst/>
                    </a:prstGeom>
                  </pic:spPr>
                </pic:pic>
              </a:graphicData>
            </a:graphic>
            <wp14:sizeRelH relativeFrom="margin">
              <wp14:pctWidth>0</wp14:pctWidth>
            </wp14:sizeRelH>
            <wp14:sizeRelV relativeFrom="margin">
              <wp14:pctHeight>0</wp14:pctHeight>
            </wp14:sizeRelV>
          </wp:anchor>
        </w:drawing>
      </w:r>
      <w:r w:rsidR="00E15BC9" w:rsidRPr="00DE71E3">
        <w:rPr>
          <w:smallCaps/>
          <w:noProof/>
          <w:sz w:val="40"/>
          <w:szCs w:val="40"/>
        </w:rPr>
        <w:drawing>
          <wp:anchor distT="0" distB="0" distL="114300" distR="114300" simplePos="0" relativeHeight="251803648" behindDoc="1" locked="0" layoutInCell="1" allowOverlap="1" wp14:anchorId="02BD9A13" wp14:editId="3ECC7B62">
            <wp:simplePos x="0" y="0"/>
            <wp:positionH relativeFrom="column">
              <wp:posOffset>-1053466</wp:posOffset>
            </wp:positionH>
            <wp:positionV relativeFrom="page">
              <wp:posOffset>-9525</wp:posOffset>
            </wp:positionV>
            <wp:extent cx="7886700" cy="9093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7890751" cy="909787"/>
                    </a:xfrm>
                    <a:prstGeom prst="rect">
                      <a:avLst/>
                    </a:prstGeom>
                  </pic:spPr>
                </pic:pic>
              </a:graphicData>
            </a:graphic>
            <wp14:sizeRelH relativeFrom="margin">
              <wp14:pctWidth>0</wp14:pctWidth>
            </wp14:sizeRelH>
            <wp14:sizeRelV relativeFrom="margin">
              <wp14:pctHeight>0</wp14:pctHeight>
            </wp14:sizeRelV>
          </wp:anchor>
        </w:drawing>
      </w:r>
      <w:r w:rsidRPr="00DE71E3">
        <w:rPr>
          <w:rFonts w:ascii="Candara" w:hAnsi="Candara"/>
          <w:smallCaps/>
          <w:sz w:val="40"/>
          <w:szCs w:val="40"/>
        </w:rPr>
        <w:t>Hoja Informativa</w:t>
      </w:r>
      <w:r>
        <w:rPr>
          <w:rFonts w:ascii="Candara" w:hAnsi="Candara"/>
        </w:rPr>
        <w:br/>
      </w:r>
      <w:r w:rsidR="007A0C5F" w:rsidRPr="007A0C5F">
        <w:rPr>
          <w:rFonts w:ascii="Candara" w:hAnsi="Candara"/>
          <w:sz w:val="52"/>
          <w:szCs w:val="52"/>
        </w:rPr>
        <w:t>Sistema estatal de rendición</w:t>
      </w:r>
      <w:r w:rsidR="007A0C5F" w:rsidRPr="007A0C5F">
        <w:rPr>
          <w:rFonts w:ascii="Candara" w:hAnsi="Candara"/>
          <w:sz w:val="52"/>
          <w:szCs w:val="52"/>
        </w:rPr>
        <w:br/>
        <w:t xml:space="preserve">de cuentas, apoyo escolar </w:t>
      </w:r>
      <w:r w:rsidR="007A0C5F" w:rsidRPr="007A0C5F">
        <w:rPr>
          <w:rFonts w:ascii="Candara" w:hAnsi="Candara"/>
          <w:sz w:val="52"/>
          <w:szCs w:val="52"/>
        </w:rPr>
        <w:br/>
        <w:t>y actividades de mejoramiento</w:t>
      </w:r>
      <w:r w:rsidR="00A37650">
        <w:rPr>
          <w:rFonts w:ascii="Candara" w:hAnsi="Candara"/>
        </w:rPr>
        <w:t xml:space="preserve"> </w:t>
      </w:r>
    </w:p>
    <w:p w:rsidR="00792633" w:rsidRDefault="00792633">
      <w:pPr>
        <w:pStyle w:val="NoSpacing"/>
        <w:ind w:left="2160"/>
        <w:jc w:val="right"/>
      </w:pPr>
    </w:p>
    <w:p w:rsidR="00792633" w:rsidRDefault="003962DD" w:rsidP="000425B4">
      <w:pPr>
        <w:pStyle w:val="NoSpacing"/>
        <w:spacing w:after="360"/>
      </w:pPr>
      <w:r>
        <w:t>S</w:t>
      </w:r>
      <w:r w:rsidR="0055407B">
        <w:t xml:space="preserve">eptiembre de </w:t>
      </w:r>
      <w:r w:rsidR="00F74460">
        <w:t>2018</w:t>
      </w:r>
      <w:r w:rsidR="00A459E8">
        <w:br/>
        <w:t>Traducida por Myriam Alizo, CPIR</w:t>
      </w:r>
      <w:r w:rsidR="00E71D49">
        <w:br/>
      </w:r>
      <w:r w:rsidR="00F86147">
        <w:t>___________________________________________</w:t>
      </w:r>
      <w:r w:rsidR="000425B4">
        <w:t>__________</w:t>
      </w:r>
      <w:r w:rsidR="00F86147">
        <w:t>_________________________</w:t>
      </w:r>
    </w:p>
    <w:p w:rsidR="00180885" w:rsidRPr="00180885" w:rsidRDefault="00180885" w:rsidP="00180885">
      <w:pPr>
        <w:pStyle w:val="NoSpacing"/>
        <w:spacing w:before="120"/>
        <w:rPr>
          <w:b/>
          <w:color w:val="1F3864" w:themeColor="accent1" w:themeShade="80"/>
          <w:sz w:val="28"/>
          <w:szCs w:val="28"/>
        </w:rPr>
      </w:pPr>
      <w:r w:rsidRPr="00180885">
        <w:rPr>
          <w:b/>
          <w:color w:val="1F3864" w:themeColor="accent1" w:themeShade="80"/>
          <w:sz w:val="28"/>
          <w:szCs w:val="28"/>
        </w:rPr>
        <w:t>Sistema Estatal de Rendición de Cuentas</w:t>
      </w:r>
    </w:p>
    <w:p w:rsidR="00180885" w:rsidRPr="00180885" w:rsidRDefault="00180885" w:rsidP="00180885">
      <w:pPr>
        <w:pStyle w:val="NoSpacing"/>
        <w:spacing w:before="120"/>
      </w:pPr>
      <w:r w:rsidRPr="00180885">
        <w:t>El sistema de rendición de cuentas a nivel estatal es la pieza central de la implementación de la Ley Cada Estudiante Triunfa (ESSA). Su objetivo es mejorar el rendimiento académico de los estudiantes y el éxito escolar, así como cerrar las brechas de rendimiento.</w:t>
      </w:r>
    </w:p>
    <w:p w:rsidR="00180885" w:rsidRPr="00180885" w:rsidRDefault="00180885" w:rsidP="00180885">
      <w:pPr>
        <w:pStyle w:val="NoSpacing"/>
        <w:spacing w:before="120"/>
      </w:pPr>
      <w:r w:rsidRPr="00180885">
        <w:t>El sistema de rendición de cuentas debe incluir los siguientes componentes:</w:t>
      </w:r>
    </w:p>
    <w:p w:rsidR="00180885" w:rsidRPr="00180885" w:rsidRDefault="00180885" w:rsidP="00180885">
      <w:pPr>
        <w:pStyle w:val="NoSpacing"/>
        <w:numPr>
          <w:ilvl w:val="0"/>
          <w:numId w:val="5"/>
        </w:numPr>
        <w:tabs>
          <w:tab w:val="clear" w:pos="432"/>
          <w:tab w:val="left" w:pos="270"/>
        </w:tabs>
        <w:spacing w:before="120"/>
        <w:ind w:left="0" w:firstLine="0"/>
        <w:rPr>
          <w:b/>
          <w:color w:val="1F3864" w:themeColor="accent1" w:themeShade="80"/>
          <w:sz w:val="24"/>
          <w:szCs w:val="24"/>
        </w:rPr>
      </w:pPr>
      <w:r w:rsidRPr="00180885">
        <w:rPr>
          <w:b/>
          <w:color w:val="1F3864" w:themeColor="accent1" w:themeShade="80"/>
          <w:sz w:val="24"/>
          <w:szCs w:val="24"/>
        </w:rPr>
        <w:t xml:space="preserve">Subgrupos de </w:t>
      </w:r>
      <w:r w:rsidR="00C04A14">
        <w:rPr>
          <w:b/>
          <w:color w:val="1F3864" w:themeColor="accent1" w:themeShade="80"/>
          <w:sz w:val="24"/>
          <w:szCs w:val="24"/>
        </w:rPr>
        <w:t>E</w:t>
      </w:r>
      <w:r w:rsidRPr="00180885">
        <w:rPr>
          <w:b/>
          <w:color w:val="1F3864" w:themeColor="accent1" w:themeShade="80"/>
          <w:sz w:val="24"/>
          <w:szCs w:val="24"/>
        </w:rPr>
        <w:t xml:space="preserve">studiantes </w:t>
      </w:r>
    </w:p>
    <w:p w:rsidR="00180885" w:rsidRPr="00180885" w:rsidRDefault="00180885" w:rsidP="00180885">
      <w:pPr>
        <w:pStyle w:val="NoSpacing"/>
        <w:spacing w:before="120"/>
      </w:pPr>
      <w:r w:rsidRPr="00180885">
        <w:t xml:space="preserve">ESSA requiere que la información sobre cada uno de los sistemas de rendición de cuentas se desglose en los siguientes grupos identificados de estudiantes: </w:t>
      </w:r>
    </w:p>
    <w:p w:rsidR="00180885" w:rsidRPr="00180885" w:rsidRDefault="007445C5" w:rsidP="00180885">
      <w:pPr>
        <w:pStyle w:val="NoSpacing"/>
        <w:numPr>
          <w:ilvl w:val="0"/>
          <w:numId w:val="9"/>
        </w:numPr>
        <w:spacing w:before="120"/>
      </w:pPr>
      <w:r w:rsidRPr="00762E1A">
        <w:rPr>
          <w:noProof/>
        </w:rPr>
        <w:drawing>
          <wp:anchor distT="0" distB="0" distL="114300" distR="114300" simplePos="0" relativeHeight="251830272" behindDoc="1" locked="0" layoutInCell="1" allowOverlap="1" wp14:anchorId="25165B49">
            <wp:simplePos x="0" y="0"/>
            <wp:positionH relativeFrom="column">
              <wp:posOffset>2994660</wp:posOffset>
            </wp:positionH>
            <wp:positionV relativeFrom="paragraph">
              <wp:posOffset>67310</wp:posOffset>
            </wp:positionV>
            <wp:extent cx="2978150" cy="3343275"/>
            <wp:effectExtent l="0" t="0" r="0" b="9525"/>
            <wp:wrapTight wrapText="bothSides">
              <wp:wrapPolygon edited="0">
                <wp:start x="0" y="0"/>
                <wp:lineTo x="0" y="21538"/>
                <wp:lineTo x="21416" y="21538"/>
                <wp:lineTo x="21416" y="0"/>
                <wp:lineTo x="0" y="0"/>
              </wp:wrapPolygon>
            </wp:wrapTight>
            <wp:docPr id="2" name="Picture 2" descr="Cada indicator del sistema estatal de rendición de cuentas debe ser informado por separado para estos subgrupos de estudiantes: económicamente desfavorecidos; representantes de cada grupo racial o étnico; los que son elegible a IDEA; y los que están aprendiendo el idioma 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978150" cy="334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0885" w:rsidRPr="00180885">
        <w:t>Estudiantes económicamente desfavorecidos;</w:t>
      </w:r>
    </w:p>
    <w:p w:rsidR="00180885" w:rsidRPr="00180885" w:rsidRDefault="00180885" w:rsidP="00180885">
      <w:pPr>
        <w:pStyle w:val="NoSpacing"/>
        <w:numPr>
          <w:ilvl w:val="0"/>
          <w:numId w:val="9"/>
        </w:numPr>
        <w:spacing w:before="120"/>
      </w:pPr>
      <w:r w:rsidRPr="00180885">
        <w:t>Estudiantes de cada grupo racial o étnico importante;</w:t>
      </w:r>
    </w:p>
    <w:p w:rsidR="00180885" w:rsidRPr="00180885" w:rsidRDefault="00180885" w:rsidP="00180885">
      <w:pPr>
        <w:pStyle w:val="NoSpacing"/>
        <w:numPr>
          <w:ilvl w:val="0"/>
          <w:numId w:val="9"/>
        </w:numPr>
        <w:spacing w:before="120"/>
      </w:pPr>
      <w:r w:rsidRPr="00180885">
        <w:t>Niños con discapacidades, tal como está definido en IDEA;</w:t>
      </w:r>
    </w:p>
    <w:p w:rsidR="00180885" w:rsidRPr="00180885" w:rsidRDefault="00180885" w:rsidP="00180885">
      <w:pPr>
        <w:pStyle w:val="NoSpacing"/>
        <w:numPr>
          <w:ilvl w:val="0"/>
          <w:numId w:val="9"/>
        </w:numPr>
        <w:spacing w:before="120"/>
      </w:pPr>
      <w:r w:rsidRPr="00180885">
        <w:t>Estudiantes del idioma inglés.</w:t>
      </w:r>
    </w:p>
    <w:p w:rsidR="00180885" w:rsidRPr="00180885" w:rsidRDefault="00180885" w:rsidP="00180885">
      <w:pPr>
        <w:pStyle w:val="NoSpacing"/>
        <w:spacing w:before="120"/>
      </w:pPr>
      <w:r w:rsidRPr="00180885">
        <w:t>Este desglose centra la atención en el rendimiento y las expectativas de los grupos de estudiantes que históricamente han tenido bajo rendimiento y son visibles para el público, con el fin de identificar las brechas de rendimiento.</w:t>
      </w:r>
    </w:p>
    <w:p w:rsidR="00180885" w:rsidRDefault="00180885" w:rsidP="00180885">
      <w:pPr>
        <w:pStyle w:val="NoSpacing"/>
        <w:spacing w:before="120"/>
      </w:pPr>
      <w:r w:rsidRPr="00180885">
        <w:t xml:space="preserve">Por ejemplo, la presentación de datos estatales anuales realizada por el Departamento de Educación de EE. UU., muestra información </w:t>
      </w:r>
      <w:r w:rsidRPr="00180885">
        <w:lastRenderedPageBreak/>
        <w:t xml:space="preserve">sobre el desempeño de los estudiantes con discapacidades en las evaluaciones estatales en comparación con todos los estudiantes del estado. (Consulte los datos de su estado: </w:t>
      </w:r>
      <w:hyperlink r:id="rId11" w:anchor="report/apr/publicView" w:history="1">
        <w:r w:rsidRPr="00FF1AC3">
          <w:rPr>
            <w:rStyle w:val="Hyperlink"/>
          </w:rPr>
          <w:t>https://osep.grads360.org/#report/apr/publicView</w:t>
        </w:r>
      </w:hyperlink>
      <w:r w:rsidRPr="00180885">
        <w:t>)</w:t>
      </w:r>
    </w:p>
    <w:p w:rsidR="00411EA7" w:rsidRPr="004A031A" w:rsidRDefault="004A031A" w:rsidP="00411EA7">
      <w:pPr>
        <w:jc w:val="center"/>
        <w:rPr>
          <w:b/>
          <w:smallCaps/>
          <w:sz w:val="24"/>
          <w:szCs w:val="24"/>
          <w:lang w:val="es-ES"/>
        </w:rPr>
      </w:pPr>
      <w:r w:rsidRPr="004A031A">
        <w:rPr>
          <w:b/>
          <w:smallCaps/>
          <w:sz w:val="24"/>
          <w:szCs w:val="24"/>
          <w:lang w:val="es-ES"/>
        </w:rPr>
        <w:t xml:space="preserve">Rendimiento en Evaluaciones Estatales </w:t>
      </w:r>
    </w:p>
    <w:tbl>
      <w:tblPr>
        <w:tblStyle w:val="TableGrid"/>
        <w:tblW w:w="0" w:type="auto"/>
        <w:tblLook w:val="04A0" w:firstRow="1" w:lastRow="0" w:firstColumn="1" w:lastColumn="0" w:noHBand="0" w:noVBand="1"/>
        <w:tblCaption w:val="Rendimiento en Evaluaciones Estatales"/>
        <w:tblDescription w:val="Ejemplo de como el Departamento de Educación de EE.UU. muestra información sobre el desempeño de los estudiantes con discapacidades en las evaluaciones estatales en comparación con todos los estudiantes del estado---desempeño en la lectura y lenguaje de 4º grado y de 8º grado; Matemáticas de 4º grado y de 8º grado; y Matemáticas de escuela secundaria. Resultados son presentados como porcentaje de estudiantes que muestra competencia en la prueba estatal general y en la alterna."/>
      </w:tblPr>
      <w:tblGrid>
        <w:gridCol w:w="1885"/>
        <w:gridCol w:w="2520"/>
        <w:gridCol w:w="2520"/>
        <w:gridCol w:w="2425"/>
      </w:tblGrid>
      <w:tr w:rsidR="00411EA7" w:rsidRPr="00F052B5" w:rsidTr="002108D5">
        <w:tc>
          <w:tcPr>
            <w:tcW w:w="1885" w:type="dxa"/>
          </w:tcPr>
          <w:p w:rsidR="00411EA7" w:rsidRPr="00F052B5" w:rsidRDefault="00411EA7" w:rsidP="00DC12FA">
            <w:pPr>
              <w:jc w:val="center"/>
              <w:rPr>
                <w:b/>
                <w:lang w:val="es-ES"/>
              </w:rPr>
            </w:pPr>
            <w:r w:rsidRPr="00F052B5">
              <w:rPr>
                <w:b/>
                <w:lang w:val="es-ES"/>
              </w:rPr>
              <w:t>Grado y materia evaluada</w:t>
            </w:r>
          </w:p>
        </w:tc>
        <w:tc>
          <w:tcPr>
            <w:tcW w:w="2520" w:type="dxa"/>
          </w:tcPr>
          <w:p w:rsidR="00411EA7" w:rsidRPr="00F052B5" w:rsidRDefault="00411EA7" w:rsidP="00DC12FA">
            <w:pPr>
              <w:jc w:val="center"/>
              <w:rPr>
                <w:b/>
                <w:lang w:val="es-ES"/>
              </w:rPr>
            </w:pPr>
            <w:r w:rsidRPr="00F052B5">
              <w:rPr>
                <w:b/>
                <w:lang w:val="es-ES"/>
              </w:rPr>
              <w:t>Porcentaje de competencia en la prueba general</w:t>
            </w:r>
            <w:r w:rsidRPr="00F052B5">
              <w:rPr>
                <w:b/>
                <w:lang w:val="es-ES"/>
              </w:rPr>
              <w:br/>
              <w:t>(estudiantes con discapacidad)</w:t>
            </w:r>
          </w:p>
        </w:tc>
        <w:tc>
          <w:tcPr>
            <w:tcW w:w="2520" w:type="dxa"/>
          </w:tcPr>
          <w:p w:rsidR="00411EA7" w:rsidRPr="00F052B5" w:rsidRDefault="00411EA7" w:rsidP="00DC12FA">
            <w:pPr>
              <w:jc w:val="center"/>
              <w:rPr>
                <w:b/>
                <w:lang w:val="es-ES"/>
              </w:rPr>
            </w:pPr>
            <w:r w:rsidRPr="00F052B5">
              <w:rPr>
                <w:b/>
                <w:lang w:val="es-ES"/>
              </w:rPr>
              <w:t xml:space="preserve">Porcentaje de competencia en la prueba </w:t>
            </w:r>
            <w:r w:rsidRPr="002108D5">
              <w:rPr>
                <w:b/>
                <w:i/>
                <w:lang w:val="es-ES"/>
              </w:rPr>
              <w:t>alterna</w:t>
            </w:r>
            <w:r w:rsidRPr="00F052B5">
              <w:rPr>
                <w:b/>
                <w:lang w:val="es-ES"/>
              </w:rPr>
              <w:t xml:space="preserve"> (estudiantes con discapacidad)</w:t>
            </w:r>
          </w:p>
        </w:tc>
        <w:tc>
          <w:tcPr>
            <w:tcW w:w="2425" w:type="dxa"/>
          </w:tcPr>
          <w:p w:rsidR="00411EA7" w:rsidRPr="00F052B5" w:rsidRDefault="00411EA7" w:rsidP="00DC12FA">
            <w:pPr>
              <w:jc w:val="center"/>
              <w:rPr>
                <w:b/>
                <w:lang w:val="es-ES"/>
              </w:rPr>
            </w:pPr>
            <w:r w:rsidRPr="00F052B5">
              <w:rPr>
                <w:b/>
                <w:lang w:val="es-ES"/>
              </w:rPr>
              <w:t xml:space="preserve">Porcentaje de competencia en la prueba general </w:t>
            </w:r>
            <w:r w:rsidR="002108D5">
              <w:rPr>
                <w:b/>
                <w:lang w:val="es-ES"/>
              </w:rPr>
              <w:br/>
            </w:r>
            <w:r w:rsidRPr="00F052B5">
              <w:rPr>
                <w:b/>
                <w:lang w:val="es-ES"/>
              </w:rPr>
              <w:t>(todos los estudiantes)</w:t>
            </w:r>
          </w:p>
        </w:tc>
      </w:tr>
      <w:tr w:rsidR="00411EA7" w:rsidRPr="00F052B5" w:rsidTr="002108D5">
        <w:tc>
          <w:tcPr>
            <w:tcW w:w="1885" w:type="dxa"/>
          </w:tcPr>
          <w:p w:rsidR="00411EA7" w:rsidRPr="00F052B5" w:rsidRDefault="00411EA7" w:rsidP="00DC12FA">
            <w:pPr>
              <w:spacing w:before="60" w:after="60"/>
              <w:rPr>
                <w:lang w:val="es-ES"/>
              </w:rPr>
            </w:pPr>
            <w:r w:rsidRPr="00F052B5">
              <w:rPr>
                <w:lang w:val="es-ES"/>
              </w:rPr>
              <w:t>Lectura y lenguaje de 4º grado</w:t>
            </w:r>
          </w:p>
        </w:tc>
        <w:tc>
          <w:tcPr>
            <w:tcW w:w="2520" w:type="dxa"/>
          </w:tcPr>
          <w:p w:rsidR="00411EA7" w:rsidRPr="00F052B5" w:rsidRDefault="00A65A38" w:rsidP="00A65A38">
            <w:pPr>
              <w:spacing w:before="60" w:after="60"/>
              <w:ind w:left="346"/>
              <w:rPr>
                <w:lang w:val="es-ES"/>
              </w:rPr>
            </w:pPr>
            <w:r>
              <w:rPr>
                <w:lang w:val="es-ES"/>
              </w:rPr>
              <w:t>44</w:t>
            </w:r>
          </w:p>
        </w:tc>
        <w:tc>
          <w:tcPr>
            <w:tcW w:w="2520" w:type="dxa"/>
          </w:tcPr>
          <w:p w:rsidR="00411EA7" w:rsidRPr="00F052B5" w:rsidRDefault="00A65A38" w:rsidP="00A65A38">
            <w:pPr>
              <w:spacing w:before="60" w:after="60"/>
              <w:ind w:left="346" w:firstLine="14"/>
              <w:rPr>
                <w:lang w:val="es-ES"/>
              </w:rPr>
            </w:pPr>
            <w:r>
              <w:rPr>
                <w:lang w:val="es-ES"/>
              </w:rPr>
              <w:t>92</w:t>
            </w:r>
          </w:p>
        </w:tc>
        <w:tc>
          <w:tcPr>
            <w:tcW w:w="2425" w:type="dxa"/>
          </w:tcPr>
          <w:p w:rsidR="00411EA7" w:rsidRPr="00F052B5" w:rsidRDefault="00A65A38" w:rsidP="00A65A38">
            <w:pPr>
              <w:spacing w:before="60" w:after="60"/>
              <w:ind w:left="256"/>
              <w:rPr>
                <w:lang w:val="es-ES"/>
              </w:rPr>
            </w:pPr>
            <w:r>
              <w:rPr>
                <w:lang w:val="es-ES"/>
              </w:rPr>
              <w:t>77</w:t>
            </w:r>
          </w:p>
        </w:tc>
      </w:tr>
      <w:tr w:rsidR="00411EA7" w:rsidRPr="00F052B5" w:rsidTr="002108D5">
        <w:tc>
          <w:tcPr>
            <w:tcW w:w="1885" w:type="dxa"/>
          </w:tcPr>
          <w:p w:rsidR="00411EA7" w:rsidRPr="00F052B5" w:rsidRDefault="00411EA7" w:rsidP="00DC12FA">
            <w:pPr>
              <w:spacing w:before="60" w:after="60"/>
              <w:rPr>
                <w:lang w:val="es-ES"/>
              </w:rPr>
            </w:pPr>
            <w:r w:rsidRPr="00F052B5">
              <w:rPr>
                <w:lang w:val="es-ES"/>
              </w:rPr>
              <w:t>Lectura y lenguaje de 8º grado</w:t>
            </w:r>
          </w:p>
        </w:tc>
        <w:tc>
          <w:tcPr>
            <w:tcW w:w="2520" w:type="dxa"/>
          </w:tcPr>
          <w:p w:rsidR="00411EA7" w:rsidRPr="00F052B5" w:rsidRDefault="00A65A38" w:rsidP="00A65A38">
            <w:pPr>
              <w:spacing w:before="60" w:after="60"/>
              <w:ind w:left="346"/>
              <w:rPr>
                <w:lang w:val="es-ES"/>
              </w:rPr>
            </w:pPr>
            <w:r>
              <w:rPr>
                <w:lang w:val="es-ES"/>
              </w:rPr>
              <w:t>32</w:t>
            </w:r>
          </w:p>
        </w:tc>
        <w:tc>
          <w:tcPr>
            <w:tcW w:w="2520" w:type="dxa"/>
          </w:tcPr>
          <w:p w:rsidR="00411EA7" w:rsidRPr="00F052B5" w:rsidRDefault="00A65A38" w:rsidP="00A65A38">
            <w:pPr>
              <w:spacing w:before="60" w:after="60"/>
              <w:ind w:left="346" w:firstLine="14"/>
              <w:rPr>
                <w:lang w:val="es-ES"/>
              </w:rPr>
            </w:pPr>
            <w:r>
              <w:rPr>
                <w:lang w:val="es-ES"/>
              </w:rPr>
              <w:t>90</w:t>
            </w:r>
          </w:p>
        </w:tc>
        <w:tc>
          <w:tcPr>
            <w:tcW w:w="2425" w:type="dxa"/>
          </w:tcPr>
          <w:p w:rsidR="00411EA7" w:rsidRPr="00F052B5" w:rsidRDefault="00A65A38" w:rsidP="00A65A38">
            <w:pPr>
              <w:spacing w:before="60" w:after="60"/>
              <w:ind w:left="256"/>
              <w:rPr>
                <w:lang w:val="es-ES"/>
              </w:rPr>
            </w:pPr>
            <w:r>
              <w:rPr>
                <w:lang w:val="es-ES"/>
              </w:rPr>
              <w:t>75</w:t>
            </w:r>
          </w:p>
        </w:tc>
      </w:tr>
      <w:tr w:rsidR="00411EA7" w:rsidRPr="00F052B5" w:rsidTr="002108D5">
        <w:tc>
          <w:tcPr>
            <w:tcW w:w="1885" w:type="dxa"/>
          </w:tcPr>
          <w:p w:rsidR="00411EA7" w:rsidRPr="00F052B5" w:rsidRDefault="00411EA7" w:rsidP="00DC12FA">
            <w:pPr>
              <w:spacing w:before="60" w:after="60"/>
              <w:rPr>
                <w:lang w:val="es-ES"/>
              </w:rPr>
            </w:pPr>
            <w:r w:rsidRPr="00F052B5">
              <w:rPr>
                <w:lang w:val="es-ES"/>
              </w:rPr>
              <w:t>Matemáticas de 4º grado</w:t>
            </w:r>
          </w:p>
        </w:tc>
        <w:tc>
          <w:tcPr>
            <w:tcW w:w="2520" w:type="dxa"/>
          </w:tcPr>
          <w:p w:rsidR="00411EA7" w:rsidRPr="00F052B5" w:rsidRDefault="00A65A38" w:rsidP="00A65A38">
            <w:pPr>
              <w:spacing w:before="60" w:after="60"/>
              <w:ind w:left="346"/>
              <w:rPr>
                <w:lang w:val="es-ES"/>
              </w:rPr>
            </w:pPr>
            <w:r>
              <w:rPr>
                <w:lang w:val="es-ES"/>
              </w:rPr>
              <w:t>57</w:t>
            </w:r>
          </w:p>
        </w:tc>
        <w:tc>
          <w:tcPr>
            <w:tcW w:w="2520" w:type="dxa"/>
          </w:tcPr>
          <w:p w:rsidR="00411EA7" w:rsidRPr="00F052B5" w:rsidRDefault="00A65A38" w:rsidP="00A65A38">
            <w:pPr>
              <w:spacing w:before="60" w:after="60"/>
              <w:ind w:left="346" w:firstLine="14"/>
              <w:rPr>
                <w:lang w:val="es-ES"/>
              </w:rPr>
            </w:pPr>
            <w:r>
              <w:rPr>
                <w:lang w:val="es-ES"/>
              </w:rPr>
              <w:t>90</w:t>
            </w:r>
          </w:p>
        </w:tc>
        <w:tc>
          <w:tcPr>
            <w:tcW w:w="2425" w:type="dxa"/>
          </w:tcPr>
          <w:p w:rsidR="00411EA7" w:rsidRPr="00F052B5" w:rsidRDefault="00A65A38" w:rsidP="00A65A38">
            <w:pPr>
              <w:spacing w:before="60" w:after="60"/>
              <w:ind w:left="256"/>
              <w:rPr>
                <w:lang w:val="es-ES"/>
              </w:rPr>
            </w:pPr>
            <w:r>
              <w:rPr>
                <w:lang w:val="es-ES"/>
              </w:rPr>
              <w:t>89</w:t>
            </w:r>
          </w:p>
        </w:tc>
      </w:tr>
      <w:tr w:rsidR="00411EA7" w:rsidRPr="00F052B5" w:rsidTr="002108D5">
        <w:tc>
          <w:tcPr>
            <w:tcW w:w="1885" w:type="dxa"/>
          </w:tcPr>
          <w:p w:rsidR="00411EA7" w:rsidRPr="00F052B5" w:rsidRDefault="00411EA7" w:rsidP="00DC12FA">
            <w:pPr>
              <w:spacing w:before="60" w:after="60"/>
              <w:rPr>
                <w:lang w:val="es-ES"/>
              </w:rPr>
            </w:pPr>
            <w:r w:rsidRPr="00F052B5">
              <w:rPr>
                <w:lang w:val="es-ES"/>
              </w:rPr>
              <w:t>Matemáticas de 8º grado</w:t>
            </w:r>
          </w:p>
        </w:tc>
        <w:tc>
          <w:tcPr>
            <w:tcW w:w="2520" w:type="dxa"/>
          </w:tcPr>
          <w:p w:rsidR="00411EA7" w:rsidRPr="00F052B5" w:rsidRDefault="00A65A38" w:rsidP="00A65A38">
            <w:pPr>
              <w:spacing w:before="60" w:after="60"/>
              <w:ind w:left="346"/>
              <w:rPr>
                <w:lang w:val="es-ES"/>
              </w:rPr>
            </w:pPr>
            <w:r>
              <w:rPr>
                <w:lang w:val="es-ES"/>
              </w:rPr>
              <w:t>36</w:t>
            </w:r>
          </w:p>
        </w:tc>
        <w:tc>
          <w:tcPr>
            <w:tcW w:w="2520" w:type="dxa"/>
          </w:tcPr>
          <w:p w:rsidR="00411EA7" w:rsidRPr="00F052B5" w:rsidRDefault="00A65A38" w:rsidP="00A65A38">
            <w:pPr>
              <w:spacing w:before="60" w:after="60"/>
              <w:ind w:left="346" w:firstLine="14"/>
              <w:rPr>
                <w:lang w:val="es-ES"/>
              </w:rPr>
            </w:pPr>
            <w:r>
              <w:rPr>
                <w:lang w:val="es-ES"/>
              </w:rPr>
              <w:t>91</w:t>
            </w:r>
          </w:p>
        </w:tc>
        <w:tc>
          <w:tcPr>
            <w:tcW w:w="2425" w:type="dxa"/>
          </w:tcPr>
          <w:p w:rsidR="00411EA7" w:rsidRPr="00F052B5" w:rsidRDefault="00A65A38" w:rsidP="00A65A38">
            <w:pPr>
              <w:spacing w:before="60" w:after="60"/>
              <w:ind w:left="256"/>
              <w:rPr>
                <w:lang w:val="es-ES"/>
              </w:rPr>
            </w:pPr>
            <w:r>
              <w:rPr>
                <w:lang w:val="es-ES"/>
              </w:rPr>
              <w:t>73</w:t>
            </w:r>
          </w:p>
        </w:tc>
      </w:tr>
      <w:tr w:rsidR="00411EA7" w:rsidRPr="00F052B5" w:rsidTr="002108D5">
        <w:tc>
          <w:tcPr>
            <w:tcW w:w="1885" w:type="dxa"/>
          </w:tcPr>
          <w:p w:rsidR="00411EA7" w:rsidRPr="00F052B5" w:rsidRDefault="00411EA7" w:rsidP="00DC12FA">
            <w:pPr>
              <w:spacing w:before="60" w:after="60"/>
              <w:rPr>
                <w:lang w:val="es-ES"/>
              </w:rPr>
            </w:pPr>
            <w:r w:rsidRPr="00F052B5">
              <w:rPr>
                <w:lang w:val="es-ES"/>
              </w:rPr>
              <w:t>Matemáticas de escuela secundaria</w:t>
            </w:r>
          </w:p>
        </w:tc>
        <w:tc>
          <w:tcPr>
            <w:tcW w:w="2520" w:type="dxa"/>
          </w:tcPr>
          <w:p w:rsidR="00411EA7" w:rsidRPr="00F052B5" w:rsidRDefault="00A65A38" w:rsidP="00A65A38">
            <w:pPr>
              <w:spacing w:before="60" w:after="60"/>
              <w:ind w:left="346"/>
              <w:rPr>
                <w:lang w:val="es-ES"/>
              </w:rPr>
            </w:pPr>
            <w:r>
              <w:rPr>
                <w:lang w:val="es-ES"/>
              </w:rPr>
              <w:t>53</w:t>
            </w:r>
          </w:p>
        </w:tc>
        <w:tc>
          <w:tcPr>
            <w:tcW w:w="2520" w:type="dxa"/>
          </w:tcPr>
          <w:p w:rsidR="00411EA7" w:rsidRPr="00F052B5" w:rsidRDefault="00A65A38" w:rsidP="00A65A38">
            <w:pPr>
              <w:spacing w:before="60" w:after="60"/>
              <w:ind w:left="346" w:firstLine="14"/>
              <w:rPr>
                <w:lang w:val="es-ES"/>
              </w:rPr>
            </w:pPr>
            <w:r>
              <w:rPr>
                <w:lang w:val="es-ES"/>
              </w:rPr>
              <w:t>89</w:t>
            </w:r>
          </w:p>
        </w:tc>
        <w:tc>
          <w:tcPr>
            <w:tcW w:w="2425" w:type="dxa"/>
          </w:tcPr>
          <w:p w:rsidR="00411EA7" w:rsidRPr="00F052B5" w:rsidRDefault="00A65A38" w:rsidP="00A65A38">
            <w:pPr>
              <w:spacing w:before="60" w:after="60"/>
              <w:ind w:left="256"/>
              <w:rPr>
                <w:lang w:val="es-ES"/>
              </w:rPr>
            </w:pPr>
            <w:r>
              <w:rPr>
                <w:lang w:val="es-ES"/>
              </w:rPr>
              <w:t>82</w:t>
            </w:r>
          </w:p>
        </w:tc>
      </w:tr>
      <w:tr w:rsidR="00411EA7" w:rsidRPr="00F052B5" w:rsidTr="00DC12FA">
        <w:tc>
          <w:tcPr>
            <w:tcW w:w="9350" w:type="dxa"/>
            <w:gridSpan w:val="4"/>
          </w:tcPr>
          <w:p w:rsidR="00411EA7" w:rsidRPr="00F052B5" w:rsidRDefault="00411EA7" w:rsidP="00A65A38">
            <w:pPr>
              <w:spacing w:before="60" w:after="120"/>
              <w:rPr>
                <w:lang w:val="es-ES"/>
              </w:rPr>
            </w:pPr>
            <w:r w:rsidRPr="00A65A38">
              <w:rPr>
                <w:i/>
                <w:lang w:val="es-ES"/>
              </w:rPr>
              <w:t>Nota explicativa:</w:t>
            </w:r>
            <w:r w:rsidRPr="00F052B5">
              <w:rPr>
                <w:lang w:val="es-ES"/>
              </w:rPr>
              <w:t xml:space="preserve"> </w:t>
            </w:r>
            <w:r w:rsidR="00A65A38">
              <w:rPr>
                <w:lang w:val="es-ES"/>
              </w:rPr>
              <w:t>E</w:t>
            </w:r>
            <w:r w:rsidRPr="00F052B5">
              <w:rPr>
                <w:lang w:val="es-ES"/>
              </w:rPr>
              <w:t>stos porcentajes hacen referencia al porcentaje de estudiantes en el estado que obtuvieron una calificación igual o superior a la de competencia o dominio (según lo determinado por cada estado) en la prueba general hecha a todos los estudiantes y a los estudiantes con discapacidad (IDEA) en el 4° grado, el 8° grado y secundaria, y el porcentaje de estudiantes con discapacidad (IDEA) en el estado que obtuvieron una calificación igual o superior a la de competencia o dominio (según lo determinado por cada estado) en la prueba alterna.</w:t>
            </w:r>
          </w:p>
          <w:p w:rsidR="00411EA7" w:rsidRPr="00F052B5" w:rsidRDefault="00411EA7" w:rsidP="00A65A38">
            <w:pPr>
              <w:spacing w:before="60" w:after="120"/>
              <w:rPr>
                <w:lang w:val="es-ES"/>
              </w:rPr>
            </w:pPr>
            <w:r w:rsidRPr="00F052B5">
              <w:rPr>
                <w:lang w:val="es-ES"/>
              </w:rPr>
              <w:t>Debido a las diferencias en los cálculos utilizados para los subgrupos "todos los estudiantes" y "estudiantes con discapacidad (IDEA)", estos porcentajes pueden diferir de los reportados en el Informe Consolidado del Rendimiento del Estado (CSPR, por sus siglas en inglés). Datos reportados para la Prueba 2014-15, a los que se accede de la publicación EDFacts con fecha 13 de abril de 2016.</w:t>
            </w:r>
          </w:p>
          <w:p w:rsidR="00411EA7" w:rsidRPr="00F052B5" w:rsidRDefault="00411EA7" w:rsidP="00A65A38">
            <w:pPr>
              <w:spacing w:before="60" w:after="120"/>
              <w:rPr>
                <w:lang w:val="es-ES"/>
              </w:rPr>
            </w:pPr>
            <w:r w:rsidRPr="00F052B5">
              <w:rPr>
                <w:lang w:val="es-ES"/>
              </w:rPr>
              <w:t>Los datos de rendimiento presentados por los siguientes estados o entidades se marcaron debido a la cuestionable calidad de los datos en una o más asignaturas, grados y tipos de prueba: AS, IN, MH, MT y NV.</w:t>
            </w:r>
          </w:p>
        </w:tc>
      </w:tr>
    </w:tbl>
    <w:p w:rsidR="00C0403D" w:rsidRPr="003962DD" w:rsidRDefault="00C0403D" w:rsidP="00C0403D">
      <w:pPr>
        <w:pStyle w:val="NoSpacing"/>
        <w:spacing w:before="240"/>
        <w:jc w:val="center"/>
        <w:rPr>
          <w:i/>
        </w:rPr>
      </w:pPr>
      <w:r w:rsidRPr="003962DD">
        <w:rPr>
          <w:i/>
        </w:rPr>
        <w:t>Extracto de la presentación de datos de 2016</w:t>
      </w:r>
    </w:p>
    <w:p w:rsidR="007445C5" w:rsidRDefault="007445C5" w:rsidP="003962DD">
      <w:pPr>
        <w:pStyle w:val="NoSpacing"/>
      </w:pPr>
    </w:p>
    <w:p w:rsidR="003962DD" w:rsidRDefault="00C0403D" w:rsidP="003962DD">
      <w:pPr>
        <w:pStyle w:val="NoSpacing"/>
      </w:pPr>
      <w:r>
        <w:t>P</w:t>
      </w:r>
      <w:r w:rsidR="003962DD">
        <w:t>ara propósitos de rendición de cuentas de la escuela, estos datos de subgrupos solo se utilizan cuando el número de estudiantes en el subgrupo cumple o excede el número “mínimo” de estudiantes establecido por el estado. Este número, también llamado “N-size”, varía según el estado.</w:t>
      </w:r>
    </w:p>
    <w:p w:rsidR="00C0403D" w:rsidRDefault="00C0403D" w:rsidP="003962DD">
      <w:pPr>
        <w:pStyle w:val="NoSpacing"/>
      </w:pPr>
    </w:p>
    <w:p w:rsidR="003962DD" w:rsidRPr="003962DD" w:rsidRDefault="003962DD" w:rsidP="003962DD">
      <w:pPr>
        <w:pStyle w:val="NoSpacing"/>
        <w:numPr>
          <w:ilvl w:val="0"/>
          <w:numId w:val="5"/>
        </w:numPr>
        <w:ind w:left="0" w:firstLine="0"/>
        <w:rPr>
          <w:b/>
          <w:color w:val="1F3864" w:themeColor="accent1" w:themeShade="80"/>
          <w:sz w:val="24"/>
          <w:szCs w:val="24"/>
        </w:rPr>
      </w:pPr>
      <w:r w:rsidRPr="003962DD">
        <w:rPr>
          <w:b/>
          <w:color w:val="1F3864" w:themeColor="accent1" w:themeShade="80"/>
          <w:sz w:val="24"/>
          <w:szCs w:val="24"/>
        </w:rPr>
        <w:lastRenderedPageBreak/>
        <w:t>Indicadores</w:t>
      </w:r>
    </w:p>
    <w:p w:rsidR="003962DD" w:rsidRDefault="00762E1A" w:rsidP="003962DD">
      <w:pPr>
        <w:pStyle w:val="NoSpacing"/>
      </w:pPr>
      <w:r w:rsidRPr="00762E1A">
        <w:t xml:space="preserve"> </w:t>
      </w:r>
      <w:r w:rsidR="003962DD">
        <w:t>La Ley Cada Estudiante Triunfa (ESSA, por sus siglas en inglés) requiere que los sistemas de rendición de cuentas de los estados incluyan una serie de indicadores del rendimiento estudiantil, a fin de responsabilizar a las escuelas por el rendimiento de los estudiantes. A continuación están los indicadores académicos requeridos por ESSA:</w:t>
      </w:r>
    </w:p>
    <w:p w:rsidR="003962DD" w:rsidRPr="003962DD" w:rsidRDefault="003962DD" w:rsidP="003962DD">
      <w:pPr>
        <w:pStyle w:val="NoSpacing"/>
        <w:rPr>
          <w:b/>
          <w:i/>
        </w:rPr>
      </w:pPr>
      <w:r w:rsidRPr="003962DD">
        <w:rPr>
          <w:b/>
          <w:i/>
        </w:rPr>
        <w:t>Para escuelas primarias e intermedias</w:t>
      </w:r>
    </w:p>
    <w:p w:rsidR="003962DD" w:rsidRDefault="00BE11A4" w:rsidP="003962DD">
      <w:pPr>
        <w:pStyle w:val="NoSpacing"/>
        <w:numPr>
          <w:ilvl w:val="0"/>
          <w:numId w:val="10"/>
        </w:numPr>
      </w:pPr>
      <w:r>
        <w:rPr>
          <w:b/>
          <w:i/>
          <w:noProof/>
        </w:rPr>
        <w:drawing>
          <wp:anchor distT="0" distB="0" distL="114300" distR="114300" simplePos="0" relativeHeight="251834368" behindDoc="1" locked="0" layoutInCell="1" allowOverlap="1">
            <wp:simplePos x="0" y="0"/>
            <wp:positionH relativeFrom="column">
              <wp:posOffset>2870840</wp:posOffset>
            </wp:positionH>
            <wp:positionV relativeFrom="paragraph">
              <wp:posOffset>114012</wp:posOffset>
            </wp:positionV>
            <wp:extent cx="3147060" cy="2445385"/>
            <wp:effectExtent l="0" t="0" r="0" b="0"/>
            <wp:wrapTight wrapText="bothSides">
              <wp:wrapPolygon edited="0">
                <wp:start x="0" y="0"/>
                <wp:lineTo x="0" y="21370"/>
                <wp:lineTo x="21443" y="21370"/>
                <wp:lineTo x="21443" y="0"/>
                <wp:lineTo x="0" y="0"/>
              </wp:wrapPolygon>
            </wp:wrapTight>
            <wp:docPr id="3" name="Picture 3" descr="Sistema de Rendición de Cuentas del Estado: Indicadores Requeridos&#10;Esta imagen presenta en forma gráfica la misma información descrita en el text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cado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7060" cy="2445385"/>
                    </a:xfrm>
                    <a:prstGeom prst="rect">
                      <a:avLst/>
                    </a:prstGeom>
                  </pic:spPr>
                </pic:pic>
              </a:graphicData>
            </a:graphic>
            <wp14:sizeRelH relativeFrom="margin">
              <wp14:pctWidth>0</wp14:pctWidth>
            </wp14:sizeRelH>
            <wp14:sizeRelV relativeFrom="margin">
              <wp14:pctHeight>0</wp14:pctHeight>
            </wp14:sizeRelV>
          </wp:anchor>
        </w:drawing>
      </w:r>
      <w:r w:rsidR="003962DD">
        <w:t>Puntajes de los estudiantes en evaluaciones estatales anuales en lectura y lenguaje, y matemáticas</w:t>
      </w:r>
    </w:p>
    <w:p w:rsidR="003962DD" w:rsidRDefault="003962DD" w:rsidP="003962DD">
      <w:pPr>
        <w:pStyle w:val="NoSpacing"/>
        <w:numPr>
          <w:ilvl w:val="0"/>
          <w:numId w:val="10"/>
        </w:numPr>
      </w:pPr>
      <w:r>
        <w:t>Medida de crecimiento estudiantil en base a las evaluaciones anuales u otros indicadores académicos</w:t>
      </w:r>
    </w:p>
    <w:p w:rsidR="003962DD" w:rsidRPr="00AF3659" w:rsidRDefault="003962DD" w:rsidP="003962DD">
      <w:pPr>
        <w:pStyle w:val="NoSpacing"/>
        <w:rPr>
          <w:b/>
          <w:i/>
        </w:rPr>
      </w:pPr>
      <w:r w:rsidRPr="00AF3659">
        <w:rPr>
          <w:b/>
          <w:i/>
        </w:rPr>
        <w:t>Para escuelas secundarias</w:t>
      </w:r>
    </w:p>
    <w:p w:rsidR="003962DD" w:rsidRDefault="003962DD" w:rsidP="003962DD">
      <w:pPr>
        <w:pStyle w:val="NoSpacing"/>
        <w:numPr>
          <w:ilvl w:val="0"/>
          <w:numId w:val="11"/>
        </w:numPr>
      </w:pPr>
      <w:r>
        <w:t>Puntajes de los estudiantes en evaluaciones estatales anuales en lectura y lenguaje, y matemáticas (u otra evaluación académica de la escuela secundaria reconocida nacionalmente)</w:t>
      </w:r>
    </w:p>
    <w:p w:rsidR="003962DD" w:rsidRDefault="003962DD" w:rsidP="003962DD">
      <w:pPr>
        <w:pStyle w:val="NoSpacing"/>
        <w:numPr>
          <w:ilvl w:val="0"/>
          <w:numId w:val="11"/>
        </w:numPr>
      </w:pPr>
      <w:r>
        <w:t>Tasa de graduación (la tasa de graduación de cohortes ajustada de cuatro años y, si corresponde, la tasa de graduación de cohortes ajustada del año extendido)</w:t>
      </w:r>
    </w:p>
    <w:p w:rsidR="003962DD" w:rsidRDefault="003962DD" w:rsidP="003962DD">
      <w:pPr>
        <w:pStyle w:val="NoSpacing"/>
        <w:numPr>
          <w:ilvl w:val="0"/>
          <w:numId w:val="11"/>
        </w:numPr>
      </w:pPr>
      <w:r>
        <w:t>Medida del crecimiento estudiantil en base a las evaluaciones anuales (opcional)</w:t>
      </w:r>
    </w:p>
    <w:p w:rsidR="003962DD" w:rsidRPr="00AF3659" w:rsidRDefault="003962DD" w:rsidP="003962DD">
      <w:pPr>
        <w:pStyle w:val="NoSpacing"/>
        <w:rPr>
          <w:b/>
          <w:i/>
        </w:rPr>
      </w:pPr>
      <w:r w:rsidRPr="00AF3659">
        <w:rPr>
          <w:b/>
          <w:i/>
        </w:rPr>
        <w:t>Para todas las escuelas</w:t>
      </w:r>
    </w:p>
    <w:p w:rsidR="003962DD" w:rsidRDefault="003962DD" w:rsidP="003962DD">
      <w:pPr>
        <w:pStyle w:val="NoSpacing"/>
        <w:numPr>
          <w:ilvl w:val="0"/>
          <w:numId w:val="12"/>
        </w:numPr>
      </w:pPr>
      <w:r>
        <w:t>Dominio del idioma inglés en la evaluación anual del dominio del idioma inglés del estado</w:t>
      </w:r>
    </w:p>
    <w:p w:rsidR="003962DD" w:rsidRDefault="003962DD" w:rsidP="003962DD">
      <w:pPr>
        <w:pStyle w:val="NoSpacing"/>
      </w:pPr>
      <w:r w:rsidRPr="003962DD">
        <w:rPr>
          <w:i/>
        </w:rPr>
        <w:t>Además de estos indicadores académicos, los estados también deben incluir uno o más indicadores de calidad escolar o de éxito estudiantil, también conocidos como indicadores no académicos. Algunos ejemplos de indicadores no académicos pueden incluir: ausentismo crónico, preparación postsecundaria, finalización de cursos avanzados y clima escolar</w:t>
      </w:r>
      <w:r>
        <w:t>.</w:t>
      </w:r>
    </w:p>
    <w:p w:rsidR="00DD6F26" w:rsidRDefault="00DD6F26" w:rsidP="00DD6F26">
      <w:pPr>
        <w:pStyle w:val="NoSpacing"/>
      </w:pPr>
      <w:r w:rsidRPr="00DD6F26">
        <w:rPr>
          <w:b/>
        </w:rPr>
        <w:t>Ponderación</w:t>
      </w:r>
      <w:r>
        <w:t xml:space="preserve"> | Cada estado debe identificar el peso que le dará a cada indicador al calcular el rendimiento escolar. ESSA requiere que la ponderación de los indicadores académicos sea mucho mayor que el peso de los indicadores de la calidad de la escuela o del éxito del alumno.</w:t>
      </w:r>
    </w:p>
    <w:p w:rsidR="00DD6F26" w:rsidRPr="00DD6F26" w:rsidRDefault="00DD6F26" w:rsidP="00DD6F26">
      <w:pPr>
        <w:pStyle w:val="NoSpacing"/>
        <w:rPr>
          <w:b/>
          <w:sz w:val="24"/>
          <w:szCs w:val="24"/>
        </w:rPr>
      </w:pPr>
      <w:r w:rsidRPr="00DD6F26">
        <w:rPr>
          <w:b/>
          <w:color w:val="1F3864" w:themeColor="accent1" w:themeShade="80"/>
          <w:sz w:val="24"/>
          <w:szCs w:val="24"/>
        </w:rPr>
        <w:t>III.</w:t>
      </w:r>
      <w:r>
        <w:rPr>
          <w:b/>
          <w:color w:val="1F3864" w:themeColor="accent1" w:themeShade="80"/>
          <w:sz w:val="24"/>
          <w:szCs w:val="24"/>
        </w:rPr>
        <w:t xml:space="preserve">  </w:t>
      </w:r>
      <w:r w:rsidRPr="00DD6F26">
        <w:rPr>
          <w:b/>
          <w:color w:val="1F3864" w:themeColor="accent1" w:themeShade="80"/>
          <w:sz w:val="24"/>
          <w:szCs w:val="24"/>
        </w:rPr>
        <w:t xml:space="preserve">Metas a </w:t>
      </w:r>
      <w:r w:rsidR="00AD356C">
        <w:rPr>
          <w:b/>
          <w:color w:val="1F3864" w:themeColor="accent1" w:themeShade="80"/>
          <w:sz w:val="24"/>
          <w:szCs w:val="24"/>
        </w:rPr>
        <w:t>L</w:t>
      </w:r>
      <w:r w:rsidRPr="00DD6F26">
        <w:rPr>
          <w:b/>
          <w:color w:val="1F3864" w:themeColor="accent1" w:themeShade="80"/>
          <w:sz w:val="24"/>
          <w:szCs w:val="24"/>
        </w:rPr>
        <w:t xml:space="preserve">argo </w:t>
      </w:r>
      <w:r w:rsidR="00AD356C">
        <w:rPr>
          <w:b/>
          <w:color w:val="1F3864" w:themeColor="accent1" w:themeShade="80"/>
          <w:sz w:val="24"/>
          <w:szCs w:val="24"/>
        </w:rPr>
        <w:t>P</w:t>
      </w:r>
      <w:r w:rsidRPr="00DD6F26">
        <w:rPr>
          <w:b/>
          <w:color w:val="1F3864" w:themeColor="accent1" w:themeShade="80"/>
          <w:sz w:val="24"/>
          <w:szCs w:val="24"/>
        </w:rPr>
        <w:t xml:space="preserve">lazo y </w:t>
      </w:r>
      <w:r w:rsidR="00AD356C">
        <w:rPr>
          <w:b/>
          <w:color w:val="1F3864" w:themeColor="accent1" w:themeShade="80"/>
          <w:sz w:val="24"/>
          <w:szCs w:val="24"/>
        </w:rPr>
        <w:t>M</w:t>
      </w:r>
      <w:r w:rsidRPr="00DD6F26">
        <w:rPr>
          <w:b/>
          <w:color w:val="1F3864" w:themeColor="accent1" w:themeShade="80"/>
          <w:sz w:val="24"/>
          <w:szCs w:val="24"/>
        </w:rPr>
        <w:t xml:space="preserve">ediciones del </w:t>
      </w:r>
      <w:r w:rsidR="00AD356C">
        <w:rPr>
          <w:b/>
          <w:color w:val="1F3864" w:themeColor="accent1" w:themeShade="80"/>
          <w:sz w:val="24"/>
          <w:szCs w:val="24"/>
        </w:rPr>
        <w:t>Progreso I</w:t>
      </w:r>
      <w:r w:rsidRPr="00DD6F26">
        <w:rPr>
          <w:b/>
          <w:color w:val="1F3864" w:themeColor="accent1" w:themeShade="80"/>
          <w:sz w:val="24"/>
          <w:szCs w:val="24"/>
        </w:rPr>
        <w:t xml:space="preserve">ntermedio </w:t>
      </w:r>
      <w:r w:rsidRPr="00DD6F26">
        <w:rPr>
          <w:b/>
          <w:sz w:val="24"/>
          <w:szCs w:val="24"/>
        </w:rPr>
        <w:t xml:space="preserve"> </w:t>
      </w:r>
    </w:p>
    <w:p w:rsidR="00DD6F26" w:rsidRDefault="00DD6F26" w:rsidP="00DD6F26">
      <w:pPr>
        <w:pStyle w:val="NoSpacing"/>
      </w:pPr>
      <w:r>
        <w:t>ESSA requiere que los estados establezcan metas a largo plazo y también mediciones de progreso intermedio para cada uno de los indicadores académicos (descritos anteriormente) para todos los estudiantes y para cada subgrupo de estudiantes.</w:t>
      </w:r>
    </w:p>
    <w:p w:rsidR="00027C7F" w:rsidRPr="00DD6F26" w:rsidRDefault="00D62700" w:rsidP="00DD6F26">
      <w:pPr>
        <w:pStyle w:val="NoSpacing"/>
      </w:pPr>
      <w:r>
        <w:lastRenderedPageBreak/>
        <w:t>Esta tabla mu</w:t>
      </w:r>
      <w:r w:rsidRPr="00D62700">
        <w:t xml:space="preserve">estra de los objetivos a largo plazo de un estado para las tasas de dominio de inglés y lenguaje (ELA, por sus siglas en inglés), y matemáticas. </w:t>
      </w:r>
      <w:r w:rsidRPr="00D62700">
        <w:rPr>
          <w:b/>
          <w:i/>
        </w:rPr>
        <w:t>Los centros para padres pueden insertar los datos reales de su estado aquí.</w:t>
      </w:r>
    </w:p>
    <w:tbl>
      <w:tblPr>
        <w:tblStyle w:val="TableGrid"/>
        <w:tblW w:w="9350" w:type="dxa"/>
        <w:tblLook w:val="04A0" w:firstRow="1" w:lastRow="0" w:firstColumn="1" w:lastColumn="0" w:noHBand="0" w:noVBand="1"/>
        <w:tblCaption w:val="Ejemplo de objetivos a largo plazo establecidos por un estado para el rendimiento de los estudiantes en las evaluaciones de matemáticas y en las evaluaciones de los que están aprendiendo el idioma inglés"/>
        <w:tblDescription w:val="Esta tabla es un ejemplo de cómo presentar los objetivos establecidos por un estado para las tasas de dominio de inglés y lenguaje (ELA, por sus siglas en inglés), y de matemáticas. Se identifica cada grupo racial y étnico en las columnas. Los centros para padres pueden cambiar la tabla para insertar los datos reales de su estado."/>
      </w:tblPr>
      <w:tblGrid>
        <w:gridCol w:w="1975"/>
        <w:gridCol w:w="2430"/>
        <w:gridCol w:w="1980"/>
        <w:gridCol w:w="1440"/>
        <w:gridCol w:w="1525"/>
      </w:tblGrid>
      <w:tr w:rsidR="00CD2C31" w:rsidTr="00CD2C31">
        <w:trPr>
          <w:tblHeader/>
        </w:trPr>
        <w:tc>
          <w:tcPr>
            <w:tcW w:w="1975" w:type="dxa"/>
            <w:shd w:val="clear" w:color="auto" w:fill="D0CECE" w:themeFill="background2" w:themeFillShade="E6"/>
          </w:tcPr>
          <w:p w:rsidR="00CD2C31" w:rsidRPr="00F052B5" w:rsidRDefault="00CD2C31" w:rsidP="00CD2C31">
            <w:pPr>
              <w:pStyle w:val="NoSpacing"/>
              <w:spacing w:before="60" w:after="60"/>
              <w:rPr>
                <w:lang w:val="es-ES"/>
              </w:rPr>
            </w:pPr>
          </w:p>
          <w:p w:rsidR="00CD2C31" w:rsidRPr="00136FB0" w:rsidRDefault="00CD2C31" w:rsidP="00CD2C31">
            <w:pPr>
              <w:pStyle w:val="NoSpacing"/>
              <w:spacing w:before="60" w:after="60"/>
              <w:rPr>
                <w:b/>
                <w:lang w:val="es-ES"/>
              </w:rPr>
            </w:pPr>
            <w:r w:rsidRPr="00136FB0">
              <w:rPr>
                <w:b/>
                <w:lang w:val="es-ES"/>
              </w:rPr>
              <w:t>Subgrupos</w:t>
            </w:r>
          </w:p>
        </w:tc>
        <w:tc>
          <w:tcPr>
            <w:tcW w:w="2430" w:type="dxa"/>
            <w:shd w:val="clear" w:color="auto" w:fill="D0CECE" w:themeFill="background2" w:themeFillShade="E6"/>
          </w:tcPr>
          <w:p w:rsidR="00CD2C31" w:rsidRPr="00F052B5" w:rsidRDefault="00CD2C31" w:rsidP="00826A38">
            <w:pPr>
              <w:pStyle w:val="NoSpacing"/>
              <w:spacing w:before="60" w:after="60"/>
              <w:jc w:val="center"/>
              <w:rPr>
                <w:lang w:val="es-ES"/>
              </w:rPr>
            </w:pPr>
            <w:r w:rsidRPr="00F052B5">
              <w:rPr>
                <w:b/>
                <w:lang w:val="es-ES"/>
              </w:rPr>
              <w:t>Punto de partida para lengua y literatura inglesa (ELA, por sus siglas en inglés)</w:t>
            </w:r>
            <w:r>
              <w:rPr>
                <w:b/>
                <w:lang w:val="es-ES"/>
              </w:rPr>
              <w:br/>
            </w:r>
            <w:r w:rsidRPr="00F052B5">
              <w:rPr>
                <w:b/>
                <w:lang w:val="es-ES"/>
              </w:rPr>
              <w:t>(2015-2016)</w:t>
            </w:r>
          </w:p>
        </w:tc>
        <w:tc>
          <w:tcPr>
            <w:tcW w:w="1980" w:type="dxa"/>
            <w:shd w:val="clear" w:color="auto" w:fill="D0CECE" w:themeFill="background2" w:themeFillShade="E6"/>
          </w:tcPr>
          <w:p w:rsidR="00CD2C31" w:rsidRPr="00F052B5" w:rsidRDefault="00CD2C31" w:rsidP="00CD2C31">
            <w:pPr>
              <w:pStyle w:val="NoSpacing"/>
              <w:spacing w:before="60" w:after="60"/>
              <w:jc w:val="center"/>
              <w:rPr>
                <w:b/>
                <w:lang w:val="es-ES"/>
              </w:rPr>
            </w:pPr>
            <w:r w:rsidRPr="00F052B5">
              <w:rPr>
                <w:b/>
                <w:lang w:val="es-ES"/>
              </w:rPr>
              <w:t>Meta a largo plazo para lengua y literatura inglesa (ELA)</w:t>
            </w:r>
            <w:r>
              <w:rPr>
                <w:b/>
                <w:lang w:val="es-ES"/>
              </w:rPr>
              <w:t xml:space="preserve"> </w:t>
            </w:r>
            <w:r w:rsidRPr="00CD2C31">
              <w:rPr>
                <w:lang w:val="es-ES"/>
              </w:rPr>
              <w:t>|</w:t>
            </w:r>
            <w:r w:rsidRPr="00F052B5">
              <w:rPr>
                <w:b/>
                <w:lang w:val="es-ES"/>
              </w:rPr>
              <w:t xml:space="preserve"> (2030)</w:t>
            </w:r>
          </w:p>
        </w:tc>
        <w:tc>
          <w:tcPr>
            <w:tcW w:w="1440" w:type="dxa"/>
            <w:shd w:val="clear" w:color="auto" w:fill="D0CECE" w:themeFill="background2" w:themeFillShade="E6"/>
          </w:tcPr>
          <w:p w:rsidR="00CD2C31" w:rsidRPr="00F052B5" w:rsidRDefault="00CD2C31" w:rsidP="00CD2C31">
            <w:pPr>
              <w:pStyle w:val="NoSpacing"/>
              <w:spacing w:before="60" w:after="60"/>
              <w:rPr>
                <w:lang w:val="es-ES"/>
              </w:rPr>
            </w:pPr>
            <w:r w:rsidRPr="00F052B5">
              <w:rPr>
                <w:b/>
                <w:lang w:val="es-ES"/>
              </w:rPr>
              <w:t>Punto de partida para matemáticas (2015-2016)</w:t>
            </w:r>
          </w:p>
        </w:tc>
        <w:tc>
          <w:tcPr>
            <w:tcW w:w="1525" w:type="dxa"/>
            <w:shd w:val="clear" w:color="auto" w:fill="D0CECE" w:themeFill="background2" w:themeFillShade="E6"/>
          </w:tcPr>
          <w:p w:rsidR="00CD2C31" w:rsidRPr="00F052B5" w:rsidRDefault="00CD2C31" w:rsidP="00CD2C31">
            <w:pPr>
              <w:pStyle w:val="NoSpacing"/>
              <w:spacing w:before="60" w:after="60"/>
              <w:jc w:val="center"/>
              <w:rPr>
                <w:b/>
                <w:lang w:val="es-ES"/>
              </w:rPr>
            </w:pPr>
            <w:r w:rsidRPr="00F052B5">
              <w:rPr>
                <w:b/>
                <w:lang w:val="es-ES"/>
              </w:rPr>
              <w:t>Meta a largo plazo para matemáticas (2030)</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Todos los estudiantes</w:t>
            </w:r>
          </w:p>
        </w:tc>
        <w:tc>
          <w:tcPr>
            <w:tcW w:w="2430" w:type="dxa"/>
          </w:tcPr>
          <w:p w:rsidR="00136FB0" w:rsidRDefault="008E620E" w:rsidP="00F87DE3">
            <w:pPr>
              <w:pStyle w:val="NoSpacing"/>
              <w:spacing w:before="60" w:after="60"/>
              <w:jc w:val="center"/>
            </w:pPr>
            <w:r>
              <w:t>52.09%</w:t>
            </w:r>
          </w:p>
        </w:tc>
        <w:tc>
          <w:tcPr>
            <w:tcW w:w="1980" w:type="dxa"/>
          </w:tcPr>
          <w:p w:rsidR="00136FB0" w:rsidRDefault="008E620E" w:rsidP="00F87DE3">
            <w:pPr>
              <w:pStyle w:val="NoSpacing"/>
              <w:spacing w:before="60" w:after="60"/>
              <w:jc w:val="center"/>
            </w:pPr>
            <w:r>
              <w:t>76.05%</w:t>
            </w:r>
          </w:p>
        </w:tc>
        <w:tc>
          <w:tcPr>
            <w:tcW w:w="1440" w:type="dxa"/>
          </w:tcPr>
          <w:p w:rsidR="00136FB0" w:rsidRDefault="008E620E" w:rsidP="00F87DE3">
            <w:pPr>
              <w:pStyle w:val="NoSpacing"/>
              <w:spacing w:before="60" w:after="60"/>
              <w:jc w:val="center"/>
            </w:pPr>
            <w:r>
              <w:t>40.49%</w:t>
            </w:r>
          </w:p>
        </w:tc>
        <w:tc>
          <w:tcPr>
            <w:tcW w:w="1525" w:type="dxa"/>
          </w:tcPr>
          <w:p w:rsidR="00136FB0" w:rsidRDefault="008E620E" w:rsidP="00F87DE3">
            <w:pPr>
              <w:pStyle w:val="NoSpacing"/>
              <w:spacing w:before="60" w:after="60"/>
              <w:jc w:val="center"/>
            </w:pPr>
            <w:r>
              <w:t>70.25%</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económicamente desfavorecidos</w:t>
            </w:r>
          </w:p>
        </w:tc>
        <w:tc>
          <w:tcPr>
            <w:tcW w:w="2430" w:type="dxa"/>
          </w:tcPr>
          <w:p w:rsidR="00136FB0" w:rsidRDefault="008E620E" w:rsidP="00F87DE3">
            <w:pPr>
              <w:pStyle w:val="NoSpacing"/>
              <w:spacing w:before="60" w:after="60"/>
              <w:jc w:val="center"/>
            </w:pPr>
            <w:r>
              <w:t>35.60%</w:t>
            </w:r>
          </w:p>
        </w:tc>
        <w:tc>
          <w:tcPr>
            <w:tcW w:w="1980" w:type="dxa"/>
          </w:tcPr>
          <w:p w:rsidR="00136FB0" w:rsidRDefault="008E620E" w:rsidP="00F87DE3">
            <w:pPr>
              <w:pStyle w:val="NoSpacing"/>
              <w:spacing w:before="60" w:after="60"/>
              <w:jc w:val="center"/>
            </w:pPr>
            <w:r>
              <w:t>67.80%</w:t>
            </w:r>
          </w:p>
        </w:tc>
        <w:tc>
          <w:tcPr>
            <w:tcW w:w="1440" w:type="dxa"/>
          </w:tcPr>
          <w:p w:rsidR="00136FB0" w:rsidRDefault="008E620E" w:rsidP="00F87DE3">
            <w:pPr>
              <w:pStyle w:val="NoSpacing"/>
              <w:spacing w:before="60" w:after="60"/>
              <w:jc w:val="center"/>
            </w:pPr>
            <w:r>
              <w:t>25.42%</w:t>
            </w:r>
          </w:p>
        </w:tc>
        <w:tc>
          <w:tcPr>
            <w:tcW w:w="1525" w:type="dxa"/>
          </w:tcPr>
          <w:p w:rsidR="00136FB0" w:rsidRDefault="008E620E" w:rsidP="00F87DE3">
            <w:pPr>
              <w:pStyle w:val="NoSpacing"/>
              <w:spacing w:before="60" w:after="60"/>
              <w:jc w:val="center"/>
            </w:pPr>
            <w:r>
              <w:t>62.71%</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con discapacidades</w:t>
            </w:r>
          </w:p>
        </w:tc>
        <w:tc>
          <w:tcPr>
            <w:tcW w:w="2430" w:type="dxa"/>
          </w:tcPr>
          <w:p w:rsidR="00136FB0" w:rsidRDefault="008E620E" w:rsidP="00F87DE3">
            <w:pPr>
              <w:pStyle w:val="NoSpacing"/>
              <w:spacing w:before="60" w:after="60"/>
              <w:jc w:val="center"/>
            </w:pPr>
            <w:r>
              <w:t>13.48%</w:t>
            </w:r>
          </w:p>
        </w:tc>
        <w:tc>
          <w:tcPr>
            <w:tcW w:w="1980" w:type="dxa"/>
          </w:tcPr>
          <w:p w:rsidR="00136FB0" w:rsidRDefault="008E620E" w:rsidP="00F87DE3">
            <w:pPr>
              <w:pStyle w:val="NoSpacing"/>
              <w:spacing w:before="60" w:after="60"/>
              <w:jc w:val="center"/>
            </w:pPr>
            <w:r>
              <w:t>56.74%</w:t>
            </w:r>
          </w:p>
        </w:tc>
        <w:tc>
          <w:tcPr>
            <w:tcW w:w="1440" w:type="dxa"/>
          </w:tcPr>
          <w:p w:rsidR="00136FB0" w:rsidRDefault="008E620E" w:rsidP="00F87DE3">
            <w:pPr>
              <w:pStyle w:val="NoSpacing"/>
              <w:spacing w:before="60" w:after="60"/>
              <w:jc w:val="center"/>
            </w:pPr>
            <w:r>
              <w:t>10.36%</w:t>
            </w:r>
          </w:p>
        </w:tc>
        <w:tc>
          <w:tcPr>
            <w:tcW w:w="1525" w:type="dxa"/>
          </w:tcPr>
          <w:p w:rsidR="00136FB0" w:rsidRDefault="008E620E" w:rsidP="00F87DE3">
            <w:pPr>
              <w:pStyle w:val="NoSpacing"/>
              <w:spacing w:before="60" w:after="60"/>
              <w:jc w:val="center"/>
            </w:pPr>
            <w:r>
              <w:t>55.18%</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que están aprendiendo el idioma inglés</w:t>
            </w:r>
          </w:p>
        </w:tc>
        <w:tc>
          <w:tcPr>
            <w:tcW w:w="2430" w:type="dxa"/>
          </w:tcPr>
          <w:p w:rsidR="00136FB0" w:rsidRDefault="008E620E" w:rsidP="00F87DE3">
            <w:pPr>
              <w:pStyle w:val="NoSpacing"/>
              <w:spacing w:before="60" w:after="60"/>
              <w:jc w:val="center"/>
            </w:pPr>
            <w:r>
              <w:t>15.14%</w:t>
            </w:r>
          </w:p>
        </w:tc>
        <w:tc>
          <w:tcPr>
            <w:tcW w:w="1980" w:type="dxa"/>
          </w:tcPr>
          <w:p w:rsidR="00136FB0" w:rsidRDefault="008E620E" w:rsidP="00F87DE3">
            <w:pPr>
              <w:pStyle w:val="NoSpacing"/>
              <w:spacing w:before="60" w:after="60"/>
              <w:jc w:val="center"/>
            </w:pPr>
            <w:r>
              <w:t>57.57%</w:t>
            </w:r>
          </w:p>
        </w:tc>
        <w:tc>
          <w:tcPr>
            <w:tcW w:w="1440" w:type="dxa"/>
          </w:tcPr>
          <w:p w:rsidR="00136FB0" w:rsidRDefault="008E620E" w:rsidP="00F87DE3">
            <w:pPr>
              <w:pStyle w:val="NoSpacing"/>
              <w:spacing w:before="60" w:after="60"/>
              <w:jc w:val="center"/>
            </w:pPr>
            <w:r>
              <w:t>18.10%</w:t>
            </w:r>
          </w:p>
        </w:tc>
        <w:tc>
          <w:tcPr>
            <w:tcW w:w="1525" w:type="dxa"/>
          </w:tcPr>
          <w:p w:rsidR="00136FB0" w:rsidRDefault="008E620E" w:rsidP="00F87DE3">
            <w:pPr>
              <w:pStyle w:val="NoSpacing"/>
              <w:spacing w:before="60" w:after="60"/>
              <w:jc w:val="center"/>
            </w:pPr>
            <w:r>
              <w:t>59.05%</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afroamericanos</w:t>
            </w:r>
          </w:p>
        </w:tc>
        <w:tc>
          <w:tcPr>
            <w:tcW w:w="2430" w:type="dxa"/>
          </w:tcPr>
          <w:p w:rsidR="00136FB0" w:rsidRDefault="008E620E" w:rsidP="00F87DE3">
            <w:pPr>
              <w:pStyle w:val="NoSpacing"/>
              <w:spacing w:before="60" w:after="60"/>
              <w:jc w:val="center"/>
            </w:pPr>
            <w:r>
              <w:t>36.19%</w:t>
            </w:r>
          </w:p>
        </w:tc>
        <w:tc>
          <w:tcPr>
            <w:tcW w:w="1980" w:type="dxa"/>
          </w:tcPr>
          <w:p w:rsidR="00136FB0" w:rsidRDefault="008E620E" w:rsidP="00F87DE3">
            <w:pPr>
              <w:pStyle w:val="NoSpacing"/>
              <w:spacing w:before="60" w:after="60"/>
              <w:jc w:val="center"/>
            </w:pPr>
            <w:r>
              <w:t>68.10%</w:t>
            </w:r>
          </w:p>
        </w:tc>
        <w:tc>
          <w:tcPr>
            <w:tcW w:w="1440" w:type="dxa"/>
          </w:tcPr>
          <w:p w:rsidR="00136FB0" w:rsidRDefault="008E620E" w:rsidP="00F87DE3">
            <w:pPr>
              <w:pStyle w:val="NoSpacing"/>
              <w:spacing w:before="60" w:after="60"/>
              <w:jc w:val="center"/>
            </w:pPr>
            <w:r>
              <w:t>23.39%</w:t>
            </w:r>
          </w:p>
        </w:tc>
        <w:tc>
          <w:tcPr>
            <w:tcW w:w="1525" w:type="dxa"/>
          </w:tcPr>
          <w:p w:rsidR="00136FB0" w:rsidRDefault="008E620E" w:rsidP="00F87DE3">
            <w:pPr>
              <w:pStyle w:val="NoSpacing"/>
              <w:spacing w:before="60" w:after="60"/>
              <w:jc w:val="center"/>
            </w:pPr>
            <w:r>
              <w:t>61.70%</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 xml:space="preserve">Estudiantes indígenas americanos o nativos de Alaska </w:t>
            </w:r>
          </w:p>
        </w:tc>
        <w:tc>
          <w:tcPr>
            <w:tcW w:w="2430" w:type="dxa"/>
          </w:tcPr>
          <w:p w:rsidR="00136FB0" w:rsidRDefault="008E620E" w:rsidP="00F87DE3">
            <w:pPr>
              <w:pStyle w:val="NoSpacing"/>
              <w:spacing w:before="60" w:after="60"/>
              <w:jc w:val="center"/>
            </w:pPr>
            <w:r>
              <w:t>56.90%</w:t>
            </w:r>
          </w:p>
        </w:tc>
        <w:tc>
          <w:tcPr>
            <w:tcW w:w="1980" w:type="dxa"/>
          </w:tcPr>
          <w:p w:rsidR="00136FB0" w:rsidRDefault="008E620E" w:rsidP="00F87DE3">
            <w:pPr>
              <w:pStyle w:val="NoSpacing"/>
              <w:spacing w:before="60" w:after="60"/>
              <w:jc w:val="center"/>
            </w:pPr>
            <w:r>
              <w:t>78.45%</w:t>
            </w:r>
          </w:p>
        </w:tc>
        <w:tc>
          <w:tcPr>
            <w:tcW w:w="1440" w:type="dxa"/>
          </w:tcPr>
          <w:p w:rsidR="00136FB0" w:rsidRDefault="008E620E" w:rsidP="00F87DE3">
            <w:pPr>
              <w:pStyle w:val="NoSpacing"/>
              <w:spacing w:before="60" w:after="60"/>
              <w:jc w:val="center"/>
            </w:pPr>
            <w:r>
              <w:t>40.74%</w:t>
            </w:r>
          </w:p>
        </w:tc>
        <w:tc>
          <w:tcPr>
            <w:tcW w:w="1525" w:type="dxa"/>
          </w:tcPr>
          <w:p w:rsidR="00136FB0" w:rsidRDefault="008E620E" w:rsidP="00F87DE3">
            <w:pPr>
              <w:pStyle w:val="NoSpacing"/>
              <w:spacing w:before="60" w:after="60"/>
              <w:jc w:val="center"/>
            </w:pPr>
            <w:r>
              <w:t>70.37%</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asiáticos</w:t>
            </w:r>
          </w:p>
        </w:tc>
        <w:tc>
          <w:tcPr>
            <w:tcW w:w="2430" w:type="dxa"/>
          </w:tcPr>
          <w:p w:rsidR="00136FB0" w:rsidRDefault="008E620E" w:rsidP="00F87DE3">
            <w:pPr>
              <w:pStyle w:val="NoSpacing"/>
              <w:spacing w:before="60" w:after="60"/>
              <w:jc w:val="center"/>
            </w:pPr>
            <w:r>
              <w:t>79.92%</w:t>
            </w:r>
          </w:p>
        </w:tc>
        <w:tc>
          <w:tcPr>
            <w:tcW w:w="1980" w:type="dxa"/>
          </w:tcPr>
          <w:p w:rsidR="00136FB0" w:rsidRDefault="008E620E" w:rsidP="00F87DE3">
            <w:pPr>
              <w:pStyle w:val="NoSpacing"/>
              <w:spacing w:before="60" w:after="60"/>
              <w:jc w:val="center"/>
            </w:pPr>
            <w:r>
              <w:t>88.46%</w:t>
            </w:r>
          </w:p>
        </w:tc>
        <w:tc>
          <w:tcPr>
            <w:tcW w:w="1440" w:type="dxa"/>
          </w:tcPr>
          <w:p w:rsidR="00136FB0" w:rsidRDefault="008E620E" w:rsidP="00F87DE3">
            <w:pPr>
              <w:pStyle w:val="NoSpacing"/>
              <w:spacing w:before="60" w:after="60"/>
              <w:jc w:val="center"/>
            </w:pPr>
            <w:r>
              <w:t>73.40%</w:t>
            </w:r>
          </w:p>
        </w:tc>
        <w:tc>
          <w:tcPr>
            <w:tcW w:w="1525" w:type="dxa"/>
          </w:tcPr>
          <w:p w:rsidR="00136FB0" w:rsidRDefault="008E620E" w:rsidP="00F87DE3">
            <w:pPr>
              <w:pStyle w:val="NoSpacing"/>
              <w:spacing w:before="60" w:after="60"/>
              <w:jc w:val="center"/>
            </w:pPr>
            <w:r>
              <w:t>86.70%</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nativos de Hawái u otras islas del Pacífico</w:t>
            </w:r>
          </w:p>
        </w:tc>
        <w:tc>
          <w:tcPr>
            <w:tcW w:w="2430" w:type="dxa"/>
          </w:tcPr>
          <w:p w:rsidR="00136FB0" w:rsidRDefault="008E620E" w:rsidP="00F87DE3">
            <w:pPr>
              <w:pStyle w:val="NoSpacing"/>
              <w:spacing w:before="60" w:after="60"/>
              <w:jc w:val="center"/>
            </w:pPr>
            <w:r>
              <w:t>50.00%</w:t>
            </w:r>
          </w:p>
        </w:tc>
        <w:tc>
          <w:tcPr>
            <w:tcW w:w="1980" w:type="dxa"/>
          </w:tcPr>
          <w:p w:rsidR="00136FB0" w:rsidRDefault="008E620E" w:rsidP="00F87DE3">
            <w:pPr>
              <w:pStyle w:val="NoSpacing"/>
              <w:spacing w:before="60" w:after="60"/>
              <w:jc w:val="center"/>
            </w:pPr>
            <w:r>
              <w:t>75.00%</w:t>
            </w:r>
          </w:p>
        </w:tc>
        <w:tc>
          <w:tcPr>
            <w:tcW w:w="1440" w:type="dxa"/>
          </w:tcPr>
          <w:p w:rsidR="00136FB0" w:rsidRDefault="008E620E" w:rsidP="00F87DE3">
            <w:pPr>
              <w:pStyle w:val="NoSpacing"/>
              <w:spacing w:before="60" w:after="60"/>
              <w:jc w:val="center"/>
            </w:pPr>
            <w:r>
              <w:t>42.86%</w:t>
            </w:r>
          </w:p>
        </w:tc>
        <w:tc>
          <w:tcPr>
            <w:tcW w:w="1525" w:type="dxa"/>
          </w:tcPr>
          <w:p w:rsidR="00136FB0" w:rsidRDefault="008E620E" w:rsidP="00F87DE3">
            <w:pPr>
              <w:pStyle w:val="NoSpacing"/>
              <w:spacing w:before="60" w:after="60"/>
              <w:jc w:val="center"/>
            </w:pPr>
            <w:r>
              <w:t>71.43%</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hispanos o latinos</w:t>
            </w:r>
          </w:p>
        </w:tc>
        <w:tc>
          <w:tcPr>
            <w:tcW w:w="2430" w:type="dxa"/>
          </w:tcPr>
          <w:p w:rsidR="00136FB0" w:rsidRDefault="008E620E" w:rsidP="00F87DE3">
            <w:pPr>
              <w:pStyle w:val="NoSpacing"/>
              <w:spacing w:before="60" w:after="60"/>
              <w:jc w:val="center"/>
            </w:pPr>
            <w:r>
              <w:t>40.69%</w:t>
            </w:r>
          </w:p>
        </w:tc>
        <w:tc>
          <w:tcPr>
            <w:tcW w:w="1980" w:type="dxa"/>
          </w:tcPr>
          <w:p w:rsidR="00136FB0" w:rsidRDefault="008E620E" w:rsidP="00F87DE3">
            <w:pPr>
              <w:pStyle w:val="NoSpacing"/>
              <w:spacing w:before="60" w:after="60"/>
              <w:jc w:val="center"/>
            </w:pPr>
            <w:r>
              <w:t>70.35%</w:t>
            </w:r>
          </w:p>
        </w:tc>
        <w:tc>
          <w:tcPr>
            <w:tcW w:w="1440" w:type="dxa"/>
          </w:tcPr>
          <w:p w:rsidR="00136FB0" w:rsidRDefault="008E620E" w:rsidP="00F87DE3">
            <w:pPr>
              <w:pStyle w:val="NoSpacing"/>
              <w:spacing w:before="60" w:after="60"/>
              <w:jc w:val="center"/>
            </w:pPr>
            <w:r>
              <w:t>29.73%</w:t>
            </w:r>
          </w:p>
        </w:tc>
        <w:tc>
          <w:tcPr>
            <w:tcW w:w="1525" w:type="dxa"/>
          </w:tcPr>
          <w:p w:rsidR="00136FB0" w:rsidRDefault="008E620E" w:rsidP="00F87DE3">
            <w:pPr>
              <w:pStyle w:val="NoSpacing"/>
              <w:spacing w:before="60" w:after="60"/>
              <w:jc w:val="center"/>
            </w:pPr>
            <w:r>
              <w:t>64.87%</w:t>
            </w:r>
          </w:p>
        </w:tc>
      </w:tr>
      <w:tr w:rsidR="00136FB0" w:rsidTr="00CD2C31">
        <w:tc>
          <w:tcPr>
            <w:tcW w:w="1975" w:type="dxa"/>
          </w:tcPr>
          <w:p w:rsidR="00136FB0" w:rsidRPr="00F052B5" w:rsidRDefault="00136FB0" w:rsidP="00136FB0">
            <w:pPr>
              <w:pStyle w:val="NoSpacing"/>
              <w:spacing w:before="60" w:after="60"/>
              <w:rPr>
                <w:lang w:val="es-ES"/>
              </w:rPr>
            </w:pPr>
            <w:r w:rsidRPr="00F052B5">
              <w:rPr>
                <w:lang w:val="es-ES"/>
              </w:rPr>
              <w:t>Estudiantes blancos</w:t>
            </w:r>
          </w:p>
        </w:tc>
        <w:tc>
          <w:tcPr>
            <w:tcW w:w="2430" w:type="dxa"/>
          </w:tcPr>
          <w:p w:rsidR="00136FB0" w:rsidRDefault="008E620E" w:rsidP="00F87DE3">
            <w:pPr>
              <w:pStyle w:val="NoSpacing"/>
              <w:spacing w:before="60" w:after="60"/>
              <w:jc w:val="center"/>
            </w:pPr>
            <w:r>
              <w:t>64.43%</w:t>
            </w:r>
          </w:p>
        </w:tc>
        <w:tc>
          <w:tcPr>
            <w:tcW w:w="1980" w:type="dxa"/>
          </w:tcPr>
          <w:p w:rsidR="00136FB0" w:rsidRDefault="008E620E" w:rsidP="00F87DE3">
            <w:pPr>
              <w:pStyle w:val="NoSpacing"/>
              <w:spacing w:before="60" w:after="60"/>
              <w:jc w:val="center"/>
            </w:pPr>
            <w:r>
              <w:t>82.22%</w:t>
            </w:r>
          </w:p>
        </w:tc>
        <w:tc>
          <w:tcPr>
            <w:tcW w:w="1440" w:type="dxa"/>
          </w:tcPr>
          <w:p w:rsidR="00136FB0" w:rsidRDefault="008E620E" w:rsidP="00F87DE3">
            <w:pPr>
              <w:pStyle w:val="NoSpacing"/>
              <w:spacing w:before="60" w:after="60"/>
              <w:jc w:val="center"/>
            </w:pPr>
            <w:r>
              <w:t>52.87%</w:t>
            </w:r>
          </w:p>
        </w:tc>
        <w:tc>
          <w:tcPr>
            <w:tcW w:w="1525" w:type="dxa"/>
          </w:tcPr>
          <w:p w:rsidR="00136FB0" w:rsidRDefault="00F87DE3" w:rsidP="00F87DE3">
            <w:pPr>
              <w:pStyle w:val="NoSpacing"/>
              <w:spacing w:before="60" w:after="60"/>
              <w:jc w:val="center"/>
            </w:pPr>
            <w:r>
              <w:t>76.44%</w:t>
            </w:r>
          </w:p>
        </w:tc>
      </w:tr>
    </w:tbl>
    <w:p w:rsidR="00D62700" w:rsidRDefault="00D62700" w:rsidP="00AD356C">
      <w:pPr>
        <w:pStyle w:val="NoSpacing"/>
        <w:spacing w:before="240"/>
      </w:pPr>
      <w:r>
        <w:t>Los estados determinan el período de tiempo para alcanzar sus metas. Muchos estados han establecido un cronograma de 12 años para alcanzar las metas, es decir, la cantidad de años que un estudiante pasa en la escuela.</w:t>
      </w:r>
    </w:p>
    <w:p w:rsidR="00AF3659" w:rsidRPr="00AF3659" w:rsidRDefault="00AF3659" w:rsidP="00AF3659">
      <w:pPr>
        <w:pStyle w:val="NoSpacing"/>
        <w:rPr>
          <w:b/>
          <w:color w:val="1F3864" w:themeColor="accent1" w:themeShade="80"/>
          <w:sz w:val="24"/>
          <w:szCs w:val="24"/>
        </w:rPr>
      </w:pPr>
      <w:r w:rsidRPr="00AF3659">
        <w:rPr>
          <w:b/>
          <w:color w:val="1F3864" w:themeColor="accent1" w:themeShade="80"/>
          <w:sz w:val="24"/>
          <w:szCs w:val="24"/>
        </w:rPr>
        <w:t xml:space="preserve">IV.  Medición </w:t>
      </w:r>
      <w:r w:rsidR="00AD356C">
        <w:rPr>
          <w:b/>
          <w:color w:val="1F3864" w:themeColor="accent1" w:themeShade="80"/>
          <w:sz w:val="24"/>
          <w:szCs w:val="24"/>
        </w:rPr>
        <w:t>A</w:t>
      </w:r>
      <w:r w:rsidRPr="00AF3659">
        <w:rPr>
          <w:b/>
          <w:color w:val="1F3864" w:themeColor="accent1" w:themeShade="80"/>
          <w:sz w:val="24"/>
          <w:szCs w:val="24"/>
        </w:rPr>
        <w:t xml:space="preserve">nual del </w:t>
      </w:r>
      <w:r w:rsidR="00AD356C">
        <w:rPr>
          <w:b/>
          <w:color w:val="1F3864" w:themeColor="accent1" w:themeShade="80"/>
          <w:sz w:val="24"/>
          <w:szCs w:val="24"/>
        </w:rPr>
        <w:t>R</w:t>
      </w:r>
      <w:r w:rsidRPr="00AF3659">
        <w:rPr>
          <w:b/>
          <w:color w:val="1F3864" w:themeColor="accent1" w:themeShade="80"/>
          <w:sz w:val="24"/>
          <w:szCs w:val="24"/>
        </w:rPr>
        <w:t>endimiento (</w:t>
      </w:r>
      <w:r w:rsidR="00AD356C">
        <w:rPr>
          <w:b/>
          <w:color w:val="1F3864" w:themeColor="accent1" w:themeShade="80"/>
          <w:sz w:val="24"/>
          <w:szCs w:val="24"/>
        </w:rPr>
        <w:t>P</w:t>
      </w:r>
      <w:r w:rsidRPr="00AF3659">
        <w:rPr>
          <w:b/>
          <w:color w:val="1F3864" w:themeColor="accent1" w:themeShade="80"/>
          <w:sz w:val="24"/>
          <w:szCs w:val="24"/>
        </w:rPr>
        <w:t xml:space="preserve">articipación en las </w:t>
      </w:r>
      <w:r w:rsidR="00AD356C">
        <w:rPr>
          <w:b/>
          <w:color w:val="1F3864" w:themeColor="accent1" w:themeShade="80"/>
          <w:sz w:val="24"/>
          <w:szCs w:val="24"/>
        </w:rPr>
        <w:t>P</w:t>
      </w:r>
      <w:r w:rsidRPr="00AF3659">
        <w:rPr>
          <w:b/>
          <w:color w:val="1F3864" w:themeColor="accent1" w:themeShade="80"/>
          <w:sz w:val="24"/>
          <w:szCs w:val="24"/>
        </w:rPr>
        <w:t xml:space="preserve">ruebas) </w:t>
      </w:r>
    </w:p>
    <w:p w:rsidR="00AF3659" w:rsidRDefault="00AF3659" w:rsidP="00AF3659">
      <w:pPr>
        <w:pStyle w:val="NoSpacing"/>
      </w:pPr>
      <w:r>
        <w:t xml:space="preserve">ESSA requiere que el 95 por ciento de todos los estudiantes y al menos el 95 por ciento de todos los subgrupos de estudiantes participen en las evaluaciones estatales. Esta importante disposición </w:t>
      </w:r>
      <w:r>
        <w:lastRenderedPageBreak/>
        <w:t>asegura que los resultados de las pruebas reflejen la gran mayoría de los estudiantes y que reflejen los logros y las necesidades de todos los estudiantes y subgrupos de estudiantes. Sin una información válida sobre cómo se desempeñan los estudiantes con discapacidades en las evaluaciones estatales, las escuelas no podrán tomar decisiones acertadas sobre sus necesidades de instrucción.</w:t>
      </w:r>
    </w:p>
    <w:p w:rsidR="00AF3659" w:rsidRDefault="00AF3659" w:rsidP="00AF3659">
      <w:pPr>
        <w:pStyle w:val="NoSpacing"/>
      </w:pPr>
      <w:r>
        <w:t>Además, los padres no tendrán la información que necesitan para determinar cómo le está yendo a la escuela en el servicio a estos estudiantes.</w:t>
      </w:r>
    </w:p>
    <w:p w:rsidR="00AF3659" w:rsidRPr="00AF3659" w:rsidRDefault="00526B30" w:rsidP="00AF3659">
      <w:pPr>
        <w:pStyle w:val="NoSpacing"/>
        <w:spacing w:before="240"/>
        <w:rPr>
          <w:b/>
          <w:color w:val="1F3864" w:themeColor="accent1" w:themeShade="80"/>
          <w:sz w:val="24"/>
          <w:szCs w:val="24"/>
        </w:rPr>
      </w:pPr>
      <w:r>
        <w:rPr>
          <w:b/>
          <w:noProof/>
          <w:color w:val="1F3864" w:themeColor="accent1" w:themeShade="80"/>
          <w:sz w:val="24"/>
          <w:szCs w:val="24"/>
        </w:rPr>
        <w:drawing>
          <wp:anchor distT="0" distB="0" distL="114300" distR="114300" simplePos="0" relativeHeight="251833344" behindDoc="1" locked="0" layoutInCell="1" allowOverlap="1">
            <wp:simplePos x="0" y="0"/>
            <wp:positionH relativeFrom="column">
              <wp:posOffset>3051175</wp:posOffset>
            </wp:positionH>
            <wp:positionV relativeFrom="paragraph">
              <wp:posOffset>169545</wp:posOffset>
            </wp:positionV>
            <wp:extent cx="2731135" cy="1724025"/>
            <wp:effectExtent l="0" t="0" r="0" b="9525"/>
            <wp:wrapTight wrapText="bothSides">
              <wp:wrapPolygon edited="0">
                <wp:start x="0" y="0"/>
                <wp:lineTo x="0" y="21481"/>
                <wp:lineTo x="21394" y="21481"/>
                <wp:lineTo x="21394" y="0"/>
                <wp:lineTo x="0" y="0"/>
              </wp:wrapPolygon>
            </wp:wrapTight>
            <wp:docPr id="4" name="Picture 4" descr="Dibujo de un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1135" cy="1724025"/>
                    </a:xfrm>
                    <a:prstGeom prst="rect">
                      <a:avLst/>
                    </a:prstGeom>
                  </pic:spPr>
                </pic:pic>
              </a:graphicData>
            </a:graphic>
            <wp14:sizeRelH relativeFrom="margin">
              <wp14:pctWidth>0</wp14:pctWidth>
            </wp14:sizeRelH>
            <wp14:sizeRelV relativeFrom="margin">
              <wp14:pctHeight>0</wp14:pctHeight>
            </wp14:sizeRelV>
          </wp:anchor>
        </w:drawing>
      </w:r>
      <w:r w:rsidR="00AF3659" w:rsidRPr="00AF3659">
        <w:rPr>
          <w:b/>
          <w:color w:val="1F3864" w:themeColor="accent1" w:themeShade="80"/>
          <w:sz w:val="24"/>
          <w:szCs w:val="24"/>
        </w:rPr>
        <w:t xml:space="preserve">V.  Identificación de la </w:t>
      </w:r>
      <w:r>
        <w:rPr>
          <w:b/>
          <w:color w:val="1F3864" w:themeColor="accent1" w:themeShade="80"/>
          <w:sz w:val="24"/>
          <w:szCs w:val="24"/>
        </w:rPr>
        <w:t>E</w:t>
      </w:r>
      <w:r w:rsidR="00AF3659" w:rsidRPr="00AF3659">
        <w:rPr>
          <w:b/>
          <w:color w:val="1F3864" w:themeColor="accent1" w:themeShade="80"/>
          <w:sz w:val="24"/>
          <w:szCs w:val="24"/>
        </w:rPr>
        <w:t>scuela</w:t>
      </w:r>
    </w:p>
    <w:p w:rsidR="00AF3659" w:rsidRDefault="00AF3659" w:rsidP="00AF3659">
      <w:pPr>
        <w:pStyle w:val="NoSpacing"/>
      </w:pPr>
      <w:r>
        <w:t>ESSA requiere que los estados utilicen su sistema de rendición de cuentas para identificar las escuelas que necesitan mejoras en dos categorías:</w:t>
      </w:r>
    </w:p>
    <w:p w:rsidR="00AF3659" w:rsidRPr="00AF3659" w:rsidRDefault="00AF3659" w:rsidP="00AF3659">
      <w:pPr>
        <w:pStyle w:val="NoSpacing"/>
        <w:rPr>
          <w:b/>
          <w:i/>
        </w:rPr>
      </w:pPr>
      <w:r w:rsidRPr="00AF3659">
        <w:rPr>
          <w:b/>
          <w:i/>
        </w:rPr>
        <w:t xml:space="preserve">Escuelas de </w:t>
      </w:r>
      <w:r w:rsidR="00F87DE3">
        <w:rPr>
          <w:b/>
          <w:i/>
        </w:rPr>
        <w:t>a</w:t>
      </w:r>
      <w:r w:rsidRPr="00AF3659">
        <w:rPr>
          <w:b/>
          <w:i/>
        </w:rPr>
        <w:t xml:space="preserve">poyo </w:t>
      </w:r>
      <w:r w:rsidR="00F87DE3">
        <w:rPr>
          <w:b/>
          <w:i/>
        </w:rPr>
        <w:t>i</w:t>
      </w:r>
      <w:r w:rsidRPr="00AF3659">
        <w:rPr>
          <w:b/>
          <w:i/>
        </w:rPr>
        <w:t xml:space="preserve">ntegral y </w:t>
      </w:r>
      <w:r w:rsidR="00F87DE3">
        <w:rPr>
          <w:b/>
          <w:i/>
        </w:rPr>
        <w:t>m</w:t>
      </w:r>
      <w:r w:rsidRPr="00AF3659">
        <w:rPr>
          <w:b/>
          <w:i/>
        </w:rPr>
        <w:t>ejora (CSI, por sus siglas en inglés)</w:t>
      </w:r>
    </w:p>
    <w:p w:rsidR="00AF3659" w:rsidRDefault="00AF3659" w:rsidP="00AF3659">
      <w:pPr>
        <w:pStyle w:val="NoSpacing"/>
      </w:pPr>
      <w:r>
        <w:t xml:space="preserve">Las escuelas identificadas como de </w:t>
      </w:r>
      <w:r w:rsidRPr="00611B7F">
        <w:rPr>
          <w:i/>
        </w:rPr>
        <w:t>Apoyo Integral y Mejora</w:t>
      </w:r>
      <w:r>
        <w:t xml:space="preserve"> consisten en aquellas que comprenden:</w:t>
      </w:r>
    </w:p>
    <w:p w:rsidR="00AF3659" w:rsidRDefault="00AF3659" w:rsidP="00AF3659">
      <w:pPr>
        <w:pStyle w:val="NoSpacing"/>
        <w:tabs>
          <w:tab w:val="clear" w:pos="432"/>
          <w:tab w:val="left" w:pos="720"/>
        </w:tabs>
        <w:ind w:left="720" w:right="810" w:hanging="360"/>
      </w:pPr>
      <w:r>
        <w:t>(a)</w:t>
      </w:r>
      <w:r>
        <w:tab/>
        <w:t>el cinco por ciento de menor rendimiento de todas las escuelas que reciben fondos del Título I;</w:t>
      </w:r>
    </w:p>
    <w:p w:rsidR="00AF3659" w:rsidRDefault="00AF3659" w:rsidP="00AF3659">
      <w:pPr>
        <w:pStyle w:val="NoSpacing"/>
        <w:tabs>
          <w:tab w:val="clear" w:pos="432"/>
          <w:tab w:val="left" w:pos="720"/>
        </w:tabs>
        <w:ind w:left="720" w:right="810" w:hanging="360"/>
      </w:pPr>
      <w:r>
        <w:t>(b)</w:t>
      </w:r>
      <w:r>
        <w:tab/>
        <w:t>las escuelas secundarias públicas que no logran graduar a un tercio o más de sus estudiantes; y</w:t>
      </w:r>
    </w:p>
    <w:p w:rsidR="00AF3659" w:rsidRDefault="00AF3659" w:rsidP="00AF3659">
      <w:pPr>
        <w:pStyle w:val="NoSpacing"/>
        <w:tabs>
          <w:tab w:val="clear" w:pos="432"/>
          <w:tab w:val="left" w:pos="720"/>
        </w:tabs>
        <w:ind w:left="720" w:right="810" w:hanging="360"/>
      </w:pPr>
      <w:r>
        <w:t>(c)</w:t>
      </w:r>
      <w:r>
        <w:tab/>
        <w:t>las escuelas de Título I que anteriormente recibieron apoyo específico y no mejoraron.</w:t>
      </w:r>
    </w:p>
    <w:p w:rsidR="00AF3659" w:rsidRDefault="00AF3659" w:rsidP="00AF3659">
      <w:pPr>
        <w:pStyle w:val="NoSpacing"/>
        <w:tabs>
          <w:tab w:val="clear" w:pos="432"/>
        </w:tabs>
      </w:pPr>
      <w:r>
        <w:t>Los estados deben identificar este grupo de escuelas al menos una vez cada tres años.</w:t>
      </w:r>
    </w:p>
    <w:p w:rsidR="00AF3659" w:rsidRPr="00AF3659" w:rsidRDefault="00AF3659" w:rsidP="00AF3659">
      <w:pPr>
        <w:pStyle w:val="NoSpacing"/>
        <w:rPr>
          <w:b/>
          <w:i/>
        </w:rPr>
      </w:pPr>
      <w:r w:rsidRPr="00AF3659">
        <w:rPr>
          <w:b/>
          <w:i/>
        </w:rPr>
        <w:t xml:space="preserve">Escuelas de apoyo específico y mejora  (TSI, por sus siglas en inglés) </w:t>
      </w:r>
    </w:p>
    <w:p w:rsidR="00AF3659" w:rsidRDefault="00AF3659" w:rsidP="00AF3659">
      <w:pPr>
        <w:pStyle w:val="NoSpacing"/>
      </w:pPr>
      <w:r>
        <w:t>Este grupo de escuelas comprende:</w:t>
      </w:r>
    </w:p>
    <w:p w:rsidR="00AF3659" w:rsidRDefault="00AF3659" w:rsidP="00AF3659">
      <w:pPr>
        <w:pStyle w:val="NoSpacing"/>
        <w:tabs>
          <w:tab w:val="clear" w:pos="432"/>
          <w:tab w:val="left" w:pos="720"/>
        </w:tabs>
        <w:ind w:left="720" w:right="630" w:hanging="360"/>
      </w:pPr>
      <w:r>
        <w:t>(a)</w:t>
      </w:r>
      <w:r>
        <w:tab/>
        <w:t>Cualquier escuela con uno o más “subgrupos de estudiantes consistentemente de bajo rendimiento.” El estado define “consistentemente de bajo rendimiento” en base a todos los indicadores en el sistema de rendición de cuentas estatal. Estas escuelas se identifican anualmente.</w:t>
      </w:r>
    </w:p>
    <w:p w:rsidR="00AF3659" w:rsidRDefault="00F87DE3" w:rsidP="00AF3659">
      <w:pPr>
        <w:pStyle w:val="NoSpacing"/>
        <w:tabs>
          <w:tab w:val="clear" w:pos="432"/>
          <w:tab w:val="left" w:pos="720"/>
        </w:tabs>
        <w:ind w:left="720" w:right="630" w:hanging="360"/>
      </w:pPr>
      <w:r>
        <w:t>(</w:t>
      </w:r>
      <w:r w:rsidR="00AF3659">
        <w:t>b)</w:t>
      </w:r>
      <w:r w:rsidR="00AF3659">
        <w:tab/>
        <w:t xml:space="preserve">Cualquier escuela en la que uno o más subgrupos de estudiantes tengan un rendimiento igual o inferior al rendimiento de </w:t>
      </w:r>
      <w:r w:rsidR="00AF3659" w:rsidRPr="00F87DE3">
        <w:rPr>
          <w:b/>
        </w:rPr>
        <w:t>todos los estudiantes</w:t>
      </w:r>
      <w:r w:rsidR="00AF3659">
        <w:t xml:space="preserve"> en las escuelas con el rendimiento más bajo. Estas escuelas se identifican al menos una vez cada tres años.  </w:t>
      </w:r>
    </w:p>
    <w:p w:rsidR="00AF3659" w:rsidRDefault="00AF3659" w:rsidP="00AF3659">
      <w:pPr>
        <w:pStyle w:val="NoSpacing"/>
      </w:pPr>
      <w:r>
        <w:t>Como parte de su Informe Anual del Estado, los estados deben publicar el número de escuelas identificadas en cada una de las categorías, y también los nombres de todas las escuelas públicas identificadas. Los distritos locales deben publicar la información de las escuelas dentro del distrito en sus Informes Anuales del Distrito.</w:t>
      </w:r>
    </w:p>
    <w:p w:rsidR="003962DD" w:rsidRDefault="003962DD"/>
    <w:p w:rsidR="003962DD" w:rsidRDefault="003962DD"/>
    <w:p w:rsidR="003962DD" w:rsidRDefault="003962DD">
      <w:pPr>
        <w:rPr>
          <w:rFonts w:ascii="Candara" w:hAnsi="Candara"/>
        </w:rPr>
      </w:pPr>
    </w:p>
    <w:p w:rsidR="009D2A7C" w:rsidRDefault="009D2A7C">
      <w:pPr>
        <w:rPr>
          <w:rFonts w:ascii="Candara" w:hAnsi="Candara"/>
        </w:rPr>
      </w:pPr>
      <w:bookmarkStart w:id="2" w:name="_GoBack"/>
      <w:bookmarkEnd w:id="2"/>
    </w:p>
    <w:p w:rsidR="009D2A7C" w:rsidRDefault="009D2A7C">
      <w:pPr>
        <w:rPr>
          <w:rFonts w:ascii="Candara" w:hAnsi="Candara"/>
        </w:rPr>
      </w:pPr>
    </w:p>
    <w:p w:rsidR="003962DD" w:rsidRDefault="003962DD" w:rsidP="00CB7B15">
      <w:pPr>
        <w:pStyle w:val="NoSpacing"/>
      </w:pPr>
    </w:p>
    <w:p w:rsidR="00E90D6F" w:rsidRDefault="00B8523A">
      <w:pPr>
        <w:pStyle w:val="NoSpacing"/>
        <w:spacing w:after="120"/>
      </w:pPr>
      <w:r>
        <w:rPr>
          <w:noProof/>
        </w:rPr>
        <mc:AlternateContent>
          <mc:Choice Requires="wps">
            <w:drawing>
              <wp:anchor distT="0" distB="0" distL="114300" distR="114300" simplePos="0" relativeHeight="251820032" behindDoc="0" locked="0" layoutInCell="1" allowOverlap="1">
                <wp:simplePos x="0" y="0"/>
                <wp:positionH relativeFrom="column">
                  <wp:posOffset>-196215</wp:posOffset>
                </wp:positionH>
                <wp:positionV relativeFrom="paragraph">
                  <wp:posOffset>100330</wp:posOffset>
                </wp:positionV>
                <wp:extent cx="6419850" cy="3752850"/>
                <wp:effectExtent l="0" t="0" r="19050" b="19050"/>
                <wp:wrapNone/>
                <wp:docPr id="234" name="Rectangle: Rounded Corners 234"/>
                <wp:cNvGraphicFramePr/>
                <a:graphic xmlns:a="http://schemas.openxmlformats.org/drawingml/2006/main">
                  <a:graphicData uri="http://schemas.microsoft.com/office/word/2010/wordprocessingShape">
                    <wps:wsp>
                      <wps:cNvSpPr/>
                      <wps:spPr>
                        <a:xfrm>
                          <a:off x="0" y="0"/>
                          <a:ext cx="6419850" cy="3752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5DE6A" id="Rectangle: Rounded Corners 234" o:spid="_x0000_s1026" style="position:absolute;margin-left:-15.45pt;margin-top:7.9pt;width:505.5pt;height:29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" filled="f" strokecolor="#1f3763 [1604]" strokeweight="1pt">
                <v:stroke joinstyle="miter"/>
              </v:roundrect>
            </w:pict>
          </mc:Fallback>
        </mc:AlternateContent>
      </w:r>
    </w:p>
    <w:p w:rsidR="00B8523A" w:rsidRDefault="00B8523A" w:rsidP="00B8523A">
      <w:pPr>
        <w:pStyle w:val="NoSpacing"/>
        <w:spacing w:after="0"/>
        <w:ind w:left="360" w:right="198"/>
        <w:jc w:val="center"/>
      </w:pPr>
      <w:r w:rsidRPr="006E1B96">
        <w:rPr>
          <w:b/>
          <w:color w:val="1F3864" w:themeColor="accent1" w:themeShade="80"/>
          <w:sz w:val="28"/>
          <w:szCs w:val="28"/>
        </w:rPr>
        <w:t>Center for Parent Information and Resources</w:t>
      </w:r>
    </w:p>
    <w:p w:rsidR="00B8523A" w:rsidRDefault="00B8523A" w:rsidP="00B8523A">
      <w:pPr>
        <w:pStyle w:val="NoSpacing"/>
        <w:spacing w:after="120"/>
        <w:ind w:left="360" w:right="198"/>
      </w:pPr>
      <w:r>
        <w:t xml:space="preserve">SPAN | 35 Halsey Street, Suite 400, Newark, NJ 07102-3047 |  </w:t>
      </w:r>
      <w:hyperlink r:id="rId14" w:history="1">
        <w:r w:rsidRPr="00802BAB">
          <w:rPr>
            <w:rStyle w:val="Hyperlink"/>
          </w:rPr>
          <w:t>www.parentcenterhub.org</w:t>
        </w:r>
      </w:hyperlink>
    </w:p>
    <w:p w:rsidR="00470854" w:rsidRDefault="0048183F" w:rsidP="00470854">
      <w:pPr>
        <w:pStyle w:val="EndnoteText"/>
        <w:ind w:left="360" w:right="198"/>
        <w:rPr>
          <w:sz w:val="22"/>
          <w:szCs w:val="22"/>
        </w:rPr>
      </w:pPr>
      <w:r>
        <w:rPr>
          <w:rFonts w:ascii="Candara" w:hAnsi="Candara"/>
          <w:noProof/>
        </w:rPr>
        <w:drawing>
          <wp:anchor distT="0" distB="0" distL="114300" distR="114300" simplePos="0" relativeHeight="251823104" behindDoc="0" locked="0" layoutInCell="1" allowOverlap="1">
            <wp:simplePos x="0" y="0"/>
            <wp:positionH relativeFrom="column">
              <wp:posOffset>5073015</wp:posOffset>
            </wp:positionH>
            <wp:positionV relativeFrom="paragraph">
              <wp:posOffset>172720</wp:posOffset>
            </wp:positionV>
            <wp:extent cx="866775" cy="866775"/>
            <wp:effectExtent l="0" t="0" r="9525" b="9525"/>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DEAs that Work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182880" distL="114300" distR="182880" simplePos="0" relativeHeight="251822080" behindDoc="1" locked="0" layoutInCell="1" allowOverlap="1">
            <wp:simplePos x="0" y="0"/>
            <wp:positionH relativeFrom="column">
              <wp:posOffset>-3810</wp:posOffset>
            </wp:positionH>
            <wp:positionV relativeFrom="paragraph">
              <wp:posOffset>239395</wp:posOffset>
            </wp:positionV>
            <wp:extent cx="1095375" cy="514350"/>
            <wp:effectExtent l="0" t="0" r="9525" b="0"/>
            <wp:wrapSquare wrapText="bothSides"/>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cpir logo-no bkgn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5375" cy="514350"/>
                    </a:xfrm>
                    <a:prstGeom prst="rect">
                      <a:avLst/>
                    </a:prstGeom>
                  </pic:spPr>
                </pic:pic>
              </a:graphicData>
            </a:graphic>
            <wp14:sizeRelH relativeFrom="margin">
              <wp14:pctWidth>0</wp14:pctWidth>
            </wp14:sizeRelH>
            <wp14:sizeRelV relativeFrom="margin">
              <wp14:pctHeight>0</wp14:pctHeight>
            </wp14:sizeRelV>
          </wp:anchor>
        </w:drawing>
      </w:r>
      <w:r w:rsidR="00B8523A">
        <w:rPr>
          <w:noProof/>
          <w:sz w:val="22"/>
          <w:szCs w:val="22"/>
        </w:rPr>
        <mc:AlternateContent>
          <mc:Choice Requires="wps">
            <w:drawing>
              <wp:anchor distT="0" distB="0" distL="114300" distR="114300" simplePos="0" relativeHeight="251821056" behindDoc="0" locked="0" layoutInCell="1" allowOverlap="1">
                <wp:simplePos x="0" y="0"/>
                <wp:positionH relativeFrom="column">
                  <wp:posOffset>81914</wp:posOffset>
                </wp:positionH>
                <wp:positionV relativeFrom="paragraph">
                  <wp:posOffset>10795</wp:posOffset>
                </wp:positionV>
                <wp:extent cx="5553075" cy="0"/>
                <wp:effectExtent l="0" t="0" r="28575" b="19050"/>
                <wp:wrapNone/>
                <wp:docPr id="251" name="Straight Connector 251"/>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E49D" id="Straight Connector 251"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6.45pt,.85pt" to="44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" strokecolor="#4472c4 [3204]" strokeweight=".5pt">
                <v:stroke joinstyle="miter"/>
              </v:line>
            </w:pict>
          </mc:Fallback>
        </mc:AlternateContent>
      </w:r>
      <w:r w:rsidR="00B8523A">
        <w:rPr>
          <w:sz w:val="22"/>
          <w:szCs w:val="22"/>
        </w:rPr>
        <w:br/>
      </w:r>
      <w:r w:rsidR="00470854" w:rsidRPr="00470854">
        <w:rPr>
          <w:sz w:val="22"/>
          <w:szCs w:val="22"/>
        </w:rPr>
        <w:t xml:space="preserve">Esta hoja informativa fue producida en asociación entre el Centro de Información y Recursos para Padres y The Advocacy Institute bajo la Oficina de Programas de Educación Especial del Departamento de Educación de los Estados Unidos,  No. H328R130014. Los puntos de vista expresados en este documento no representan necesariamente las posiciones o políticas del Departamento de Educación. No se intenta ni debe inferirse el endoso oficial por parte del Departamento de Educación de los EE. UU. de ningún producto, mercancía básica, servicio o empresa mencionado en este documento. </w:t>
      </w:r>
    </w:p>
    <w:p w:rsidR="00470854" w:rsidRDefault="00470854" w:rsidP="00470854">
      <w:pPr>
        <w:pStyle w:val="EndnoteText"/>
        <w:ind w:left="360" w:right="198"/>
        <w:rPr>
          <w:sz w:val="22"/>
          <w:szCs w:val="22"/>
        </w:rPr>
      </w:pPr>
    </w:p>
    <w:p w:rsidR="00B8523A" w:rsidRDefault="00470854" w:rsidP="00470854">
      <w:pPr>
        <w:pStyle w:val="EndnoteText"/>
        <w:ind w:left="360" w:right="198"/>
        <w:rPr>
          <w:sz w:val="22"/>
          <w:szCs w:val="22"/>
        </w:rPr>
      </w:pPr>
      <w:r w:rsidRPr="00470854">
        <w:rPr>
          <w:sz w:val="22"/>
          <w:szCs w:val="22"/>
        </w:rPr>
        <w:t>Este producto es de dominio público. Se concede autorización para reproducirlo en parte o en su totalidad. Si bien no es necesario el permiso para reproducir este material, la cita si es necesaria</w:t>
      </w:r>
      <w:r>
        <w:rPr>
          <w:sz w:val="22"/>
          <w:szCs w:val="22"/>
        </w:rPr>
        <w:t>:</w:t>
      </w:r>
    </w:p>
    <w:p w:rsidR="00470854" w:rsidRDefault="00470854" w:rsidP="00470854">
      <w:pPr>
        <w:pStyle w:val="EndnoteText"/>
        <w:ind w:left="360" w:right="198"/>
        <w:rPr>
          <w:sz w:val="22"/>
          <w:szCs w:val="22"/>
        </w:rPr>
      </w:pPr>
    </w:p>
    <w:p w:rsidR="0031710F" w:rsidRDefault="00470854" w:rsidP="0031710F">
      <w:pPr>
        <w:pStyle w:val="EndnoteText"/>
        <w:spacing w:after="120"/>
        <w:ind w:left="1440" w:right="1620"/>
        <w:rPr>
          <w:sz w:val="22"/>
          <w:szCs w:val="22"/>
        </w:rPr>
      </w:pPr>
      <w:r w:rsidRPr="00470854">
        <w:rPr>
          <w:sz w:val="22"/>
          <w:szCs w:val="22"/>
        </w:rPr>
        <w:t>Centro de Información y Recursos para Padres</w:t>
      </w:r>
      <w:r w:rsidR="0031710F">
        <w:rPr>
          <w:sz w:val="22"/>
          <w:szCs w:val="22"/>
        </w:rPr>
        <w:t xml:space="preserve">. (2018). </w:t>
      </w:r>
      <w:r w:rsidR="000F6F6F" w:rsidRPr="000F6F6F">
        <w:rPr>
          <w:i/>
          <w:sz w:val="22"/>
          <w:szCs w:val="22"/>
        </w:rPr>
        <w:t>Hoja informativa:</w:t>
      </w:r>
      <w:r w:rsidR="000F6F6F">
        <w:rPr>
          <w:sz w:val="22"/>
          <w:szCs w:val="22"/>
        </w:rPr>
        <w:t xml:space="preserve"> </w:t>
      </w:r>
      <w:r w:rsidR="000F6F6F" w:rsidRPr="000F6F6F">
        <w:rPr>
          <w:i/>
          <w:sz w:val="22"/>
          <w:szCs w:val="22"/>
        </w:rPr>
        <w:t>Sistema estatal de rendición de cuentas, apoyo escolar y actividades de mejoramiento</w:t>
      </w:r>
      <w:r w:rsidR="0031710F">
        <w:rPr>
          <w:sz w:val="22"/>
          <w:szCs w:val="22"/>
        </w:rPr>
        <w:t xml:space="preserve">. Newark, NJ: Autor. </w:t>
      </w:r>
    </w:p>
    <w:bookmarkEnd w:id="1"/>
    <w:p w:rsidR="0031710F" w:rsidRDefault="0031710F" w:rsidP="0048183F">
      <w:pPr>
        <w:pStyle w:val="EndnoteText"/>
        <w:spacing w:after="120"/>
        <w:ind w:left="360" w:right="202"/>
        <w:rPr>
          <w:sz w:val="22"/>
          <w:szCs w:val="22"/>
        </w:rPr>
      </w:pPr>
    </w:p>
    <w:sectPr w:rsidR="0031710F" w:rsidSect="00CB7B15">
      <w:footerReference w:type="default" r:id="rId17"/>
      <w:footerReference w:type="first" r:id="rId18"/>
      <w:endnotePr>
        <w:numFmt w:val="decimal"/>
      </w:endnotePr>
      <w:pgSz w:w="12240" w:h="15840"/>
      <w:pgMar w:top="1152" w:right="1296" w:bottom="1296" w:left="158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A74" w:rsidRDefault="00205A74">
      <w:pPr>
        <w:spacing w:after="0" w:line="240" w:lineRule="auto"/>
      </w:pPr>
      <w:r>
        <w:separator/>
      </w:r>
    </w:p>
  </w:endnote>
  <w:endnote w:type="continuationSeparator" w:id="0">
    <w:p w:rsidR="00205A74" w:rsidRDefault="0020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A459E8">
    <w:pPr>
      <w:pStyle w:val="NoSpacing"/>
      <w:spacing w:before="120" w:after="0"/>
      <w:ind w:right="-486"/>
      <w:rPr>
        <w:i/>
      </w:rPr>
    </w:pPr>
    <w:r>
      <w:rPr>
        <w:i/>
      </w:rPr>
      <w:t>_</w:t>
    </w:r>
    <w:r w:rsidR="00A459E8">
      <w:rPr>
        <w:i/>
      </w:rPr>
      <w:t>___</w:t>
    </w:r>
    <w:r>
      <w:rPr>
        <w:i/>
      </w:rPr>
      <w:t>_______________________________________________________________________________</w:t>
    </w:r>
  </w:p>
  <w:p w:rsidR="008F6315" w:rsidRPr="00056605" w:rsidRDefault="007A0C5F" w:rsidP="00A459E8">
    <w:pPr>
      <w:pStyle w:val="NoSpacing"/>
      <w:spacing w:before="120" w:after="0"/>
      <w:ind w:right="-486"/>
      <w:rPr>
        <w:i/>
      </w:rPr>
    </w:pPr>
    <w:r>
      <w:rPr>
        <w:i/>
      </w:rPr>
      <w:t>ESSA: Sistema estatal de rendición de cuentas y apoyo escolar</w:t>
    </w:r>
    <w:r w:rsidR="008F6315">
      <w:tab/>
    </w:r>
    <w:r w:rsidR="00A459E8">
      <w:tab/>
    </w:r>
    <w:r w:rsidR="00A459E8">
      <w:tab/>
    </w:r>
    <w:r w:rsidR="00A459E8">
      <w:tab/>
      <w:t>p</w:t>
    </w:r>
    <w:r w:rsidR="0055407B">
      <w:t>ágina</w:t>
    </w:r>
    <w:r w:rsidR="008F6315">
      <w:t xml:space="preserve"> |</w:t>
    </w:r>
    <w:r w:rsidR="008F6315" w:rsidRPr="00754D6E">
      <w:t xml:space="preserve"> </w:t>
    </w:r>
    <w:r w:rsidR="008F6315" w:rsidRPr="00754D6E">
      <w:fldChar w:fldCharType="begin"/>
    </w:r>
    <w:r w:rsidR="008F6315" w:rsidRPr="00754D6E">
      <w:instrText xml:space="preserve"> PAGE   \* MERGEFORMAT </w:instrText>
    </w:r>
    <w:r w:rsidR="008F6315" w:rsidRPr="00754D6E">
      <w:fldChar w:fldCharType="separate"/>
    </w:r>
    <w:r w:rsidR="005C3F53">
      <w:rPr>
        <w:noProof/>
      </w:rPr>
      <w:t>4</w:t>
    </w:r>
    <w:r w:rsidR="008F6315" w:rsidRPr="00754D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F92F39">
    <w:pPr>
      <w:spacing w:after="0" w:line="240" w:lineRule="auto"/>
      <w:ind w:left="-720" w:righ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A74" w:rsidRDefault="00205A74">
      <w:pPr>
        <w:spacing w:after="0" w:line="240" w:lineRule="auto"/>
      </w:pPr>
      <w:bookmarkStart w:id="0" w:name="_Hlk479673164"/>
      <w:bookmarkEnd w:id="0"/>
      <w:r>
        <w:separator/>
      </w:r>
    </w:p>
  </w:footnote>
  <w:footnote w:type="continuationSeparator" w:id="0">
    <w:p w:rsidR="00205A74" w:rsidRDefault="00205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013"/>
    <w:multiLevelType w:val="hybridMultilevel"/>
    <w:tmpl w:val="D7C08D3C"/>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44FC4"/>
    <w:multiLevelType w:val="hybridMultilevel"/>
    <w:tmpl w:val="7E200F6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64F0F"/>
    <w:multiLevelType w:val="hybridMultilevel"/>
    <w:tmpl w:val="8E7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426D"/>
    <w:multiLevelType w:val="hybridMultilevel"/>
    <w:tmpl w:val="59DE0920"/>
    <w:lvl w:ilvl="0" w:tplc="99444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B1525"/>
    <w:multiLevelType w:val="hybridMultilevel"/>
    <w:tmpl w:val="C97059D0"/>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D6CD9"/>
    <w:multiLevelType w:val="hybridMultilevel"/>
    <w:tmpl w:val="306AC174"/>
    <w:lvl w:ilvl="0" w:tplc="6980C228">
      <w:start w:val="1"/>
      <w:numFmt w:val="bullet"/>
      <w:pStyle w:val="SlideNumberandTitle"/>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7133951"/>
    <w:multiLevelType w:val="hybridMultilevel"/>
    <w:tmpl w:val="3C1446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454B1"/>
    <w:multiLevelType w:val="hybridMultilevel"/>
    <w:tmpl w:val="B41C258E"/>
    <w:lvl w:ilvl="0" w:tplc="9C40DCD6">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B62E2"/>
    <w:multiLevelType w:val="hybridMultilevel"/>
    <w:tmpl w:val="A0F6A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E53FF"/>
    <w:multiLevelType w:val="hybridMultilevel"/>
    <w:tmpl w:val="52E6B644"/>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47518"/>
    <w:multiLevelType w:val="hybridMultilevel"/>
    <w:tmpl w:val="D040B2A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23D15"/>
    <w:multiLevelType w:val="hybridMultilevel"/>
    <w:tmpl w:val="297E1816"/>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
  </w:num>
  <w:num w:numId="5">
    <w:abstractNumId w:val="3"/>
  </w:num>
  <w:num w:numId="6">
    <w:abstractNumId w:val="2"/>
  </w:num>
  <w:num w:numId="7">
    <w:abstractNumId w:val="8"/>
  </w:num>
  <w:num w:numId="8">
    <w:abstractNumId w:val="7"/>
  </w:num>
  <w:num w:numId="9">
    <w:abstractNumId w:val="9"/>
  </w:num>
  <w:num w:numId="10">
    <w:abstractNumId w:val="0"/>
  </w:num>
  <w:num w:numId="11">
    <w:abstractNumId w:val="1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3"/>
    <w:rsid w:val="0000017C"/>
    <w:rsid w:val="00000392"/>
    <w:rsid w:val="00005627"/>
    <w:rsid w:val="000151E4"/>
    <w:rsid w:val="00021B89"/>
    <w:rsid w:val="00027C7F"/>
    <w:rsid w:val="00027C9E"/>
    <w:rsid w:val="000314A8"/>
    <w:rsid w:val="00032E9E"/>
    <w:rsid w:val="000400A2"/>
    <w:rsid w:val="000412D7"/>
    <w:rsid w:val="000425B4"/>
    <w:rsid w:val="000425CE"/>
    <w:rsid w:val="000465BE"/>
    <w:rsid w:val="00046EF2"/>
    <w:rsid w:val="000511FF"/>
    <w:rsid w:val="00051AFC"/>
    <w:rsid w:val="00052B86"/>
    <w:rsid w:val="00054D10"/>
    <w:rsid w:val="000562DA"/>
    <w:rsid w:val="00056605"/>
    <w:rsid w:val="0006199A"/>
    <w:rsid w:val="00064CC9"/>
    <w:rsid w:val="000658E1"/>
    <w:rsid w:val="0007254E"/>
    <w:rsid w:val="00072777"/>
    <w:rsid w:val="000731AB"/>
    <w:rsid w:val="000757CD"/>
    <w:rsid w:val="00081CEC"/>
    <w:rsid w:val="0009041B"/>
    <w:rsid w:val="00095C05"/>
    <w:rsid w:val="000A3D6B"/>
    <w:rsid w:val="000A4387"/>
    <w:rsid w:val="000A5A69"/>
    <w:rsid w:val="000A7308"/>
    <w:rsid w:val="000B0516"/>
    <w:rsid w:val="000C199E"/>
    <w:rsid w:val="000C3221"/>
    <w:rsid w:val="000C39EC"/>
    <w:rsid w:val="000C5F3C"/>
    <w:rsid w:val="000D03C0"/>
    <w:rsid w:val="000D1246"/>
    <w:rsid w:val="000D2BA4"/>
    <w:rsid w:val="000D3E89"/>
    <w:rsid w:val="000D4D08"/>
    <w:rsid w:val="000E0794"/>
    <w:rsid w:val="000E1BF2"/>
    <w:rsid w:val="000E3801"/>
    <w:rsid w:val="000E62FE"/>
    <w:rsid w:val="000F4C71"/>
    <w:rsid w:val="000F4E92"/>
    <w:rsid w:val="000F6F6F"/>
    <w:rsid w:val="001021E7"/>
    <w:rsid w:val="00103EAB"/>
    <w:rsid w:val="00105470"/>
    <w:rsid w:val="00111A00"/>
    <w:rsid w:val="0011733B"/>
    <w:rsid w:val="001213FB"/>
    <w:rsid w:val="001249C3"/>
    <w:rsid w:val="0012565A"/>
    <w:rsid w:val="0012608D"/>
    <w:rsid w:val="001264DF"/>
    <w:rsid w:val="001274E3"/>
    <w:rsid w:val="00127725"/>
    <w:rsid w:val="00127F32"/>
    <w:rsid w:val="001308B0"/>
    <w:rsid w:val="00130977"/>
    <w:rsid w:val="0013596C"/>
    <w:rsid w:val="001368BA"/>
    <w:rsid w:val="00136BF2"/>
    <w:rsid w:val="00136FB0"/>
    <w:rsid w:val="00142F0A"/>
    <w:rsid w:val="001433C1"/>
    <w:rsid w:val="00144FEE"/>
    <w:rsid w:val="0014511B"/>
    <w:rsid w:val="001473E6"/>
    <w:rsid w:val="00147604"/>
    <w:rsid w:val="0015020D"/>
    <w:rsid w:val="00150C1A"/>
    <w:rsid w:val="00155857"/>
    <w:rsid w:val="00155B7E"/>
    <w:rsid w:val="001607B8"/>
    <w:rsid w:val="00166074"/>
    <w:rsid w:val="001716FC"/>
    <w:rsid w:val="00173193"/>
    <w:rsid w:val="0017386E"/>
    <w:rsid w:val="00173F1C"/>
    <w:rsid w:val="0017493B"/>
    <w:rsid w:val="0017519A"/>
    <w:rsid w:val="0017581F"/>
    <w:rsid w:val="001807E9"/>
    <w:rsid w:val="00180885"/>
    <w:rsid w:val="001834DF"/>
    <w:rsid w:val="001A4F65"/>
    <w:rsid w:val="001A70E9"/>
    <w:rsid w:val="001B0EF7"/>
    <w:rsid w:val="001B1760"/>
    <w:rsid w:val="001B3791"/>
    <w:rsid w:val="001B403A"/>
    <w:rsid w:val="001B73C8"/>
    <w:rsid w:val="001C23C2"/>
    <w:rsid w:val="001C37B0"/>
    <w:rsid w:val="001C5722"/>
    <w:rsid w:val="001D3AEF"/>
    <w:rsid w:val="001D67D7"/>
    <w:rsid w:val="001E0629"/>
    <w:rsid w:val="001E525A"/>
    <w:rsid w:val="001E5BE1"/>
    <w:rsid w:val="001F172C"/>
    <w:rsid w:val="001F6E29"/>
    <w:rsid w:val="00200ED7"/>
    <w:rsid w:val="00201C62"/>
    <w:rsid w:val="002035B5"/>
    <w:rsid w:val="00205A74"/>
    <w:rsid w:val="002108D5"/>
    <w:rsid w:val="00214A15"/>
    <w:rsid w:val="00216ED4"/>
    <w:rsid w:val="0021747E"/>
    <w:rsid w:val="002204FC"/>
    <w:rsid w:val="00220B48"/>
    <w:rsid w:val="002210D8"/>
    <w:rsid w:val="00221117"/>
    <w:rsid w:val="00221842"/>
    <w:rsid w:val="00221C10"/>
    <w:rsid w:val="0022368D"/>
    <w:rsid w:val="002250A0"/>
    <w:rsid w:val="00231316"/>
    <w:rsid w:val="0023192E"/>
    <w:rsid w:val="00231DB6"/>
    <w:rsid w:val="002324E9"/>
    <w:rsid w:val="002339EF"/>
    <w:rsid w:val="00235824"/>
    <w:rsid w:val="00236572"/>
    <w:rsid w:val="00237529"/>
    <w:rsid w:val="002409FE"/>
    <w:rsid w:val="00242F8E"/>
    <w:rsid w:val="00243E50"/>
    <w:rsid w:val="0025145D"/>
    <w:rsid w:val="00251E75"/>
    <w:rsid w:val="00254EF4"/>
    <w:rsid w:val="00262088"/>
    <w:rsid w:val="00273431"/>
    <w:rsid w:val="00273AD8"/>
    <w:rsid w:val="00274058"/>
    <w:rsid w:val="002771C6"/>
    <w:rsid w:val="00280D67"/>
    <w:rsid w:val="00280DEA"/>
    <w:rsid w:val="00283063"/>
    <w:rsid w:val="00283B05"/>
    <w:rsid w:val="00286D62"/>
    <w:rsid w:val="00286E8D"/>
    <w:rsid w:val="00290374"/>
    <w:rsid w:val="00291721"/>
    <w:rsid w:val="002970A6"/>
    <w:rsid w:val="002A0EF3"/>
    <w:rsid w:val="002A283D"/>
    <w:rsid w:val="002A4FFE"/>
    <w:rsid w:val="002B28FF"/>
    <w:rsid w:val="002B56E8"/>
    <w:rsid w:val="002B6099"/>
    <w:rsid w:val="002B638B"/>
    <w:rsid w:val="002B7691"/>
    <w:rsid w:val="002B7FEF"/>
    <w:rsid w:val="002C0570"/>
    <w:rsid w:val="002C2C47"/>
    <w:rsid w:val="002C36F1"/>
    <w:rsid w:val="002C50FE"/>
    <w:rsid w:val="002C7BAE"/>
    <w:rsid w:val="002D0C93"/>
    <w:rsid w:val="002D3A2E"/>
    <w:rsid w:val="002D4296"/>
    <w:rsid w:val="002D6206"/>
    <w:rsid w:val="002E3E8D"/>
    <w:rsid w:val="002F1DB1"/>
    <w:rsid w:val="002F2712"/>
    <w:rsid w:val="002F5254"/>
    <w:rsid w:val="002F65C8"/>
    <w:rsid w:val="002F7EA2"/>
    <w:rsid w:val="0030080F"/>
    <w:rsid w:val="00300E54"/>
    <w:rsid w:val="00302322"/>
    <w:rsid w:val="0030332F"/>
    <w:rsid w:val="003034A1"/>
    <w:rsid w:val="003035BC"/>
    <w:rsid w:val="00303E73"/>
    <w:rsid w:val="00305BCE"/>
    <w:rsid w:val="00306F4A"/>
    <w:rsid w:val="0031077F"/>
    <w:rsid w:val="00310FB4"/>
    <w:rsid w:val="003141B2"/>
    <w:rsid w:val="00315536"/>
    <w:rsid w:val="0031710F"/>
    <w:rsid w:val="00320419"/>
    <w:rsid w:val="00320F2C"/>
    <w:rsid w:val="0032241A"/>
    <w:rsid w:val="00322D91"/>
    <w:rsid w:val="00325815"/>
    <w:rsid w:val="00326064"/>
    <w:rsid w:val="00327225"/>
    <w:rsid w:val="0033284C"/>
    <w:rsid w:val="00335BC5"/>
    <w:rsid w:val="00336A46"/>
    <w:rsid w:val="00340057"/>
    <w:rsid w:val="003410E7"/>
    <w:rsid w:val="003464C6"/>
    <w:rsid w:val="003505B8"/>
    <w:rsid w:val="00350602"/>
    <w:rsid w:val="00350884"/>
    <w:rsid w:val="00351D89"/>
    <w:rsid w:val="00353DFA"/>
    <w:rsid w:val="003628AA"/>
    <w:rsid w:val="00365082"/>
    <w:rsid w:val="003674C3"/>
    <w:rsid w:val="00371F49"/>
    <w:rsid w:val="003725B2"/>
    <w:rsid w:val="00375AFD"/>
    <w:rsid w:val="00375C14"/>
    <w:rsid w:val="003802C9"/>
    <w:rsid w:val="003808A7"/>
    <w:rsid w:val="00381C2E"/>
    <w:rsid w:val="00382E74"/>
    <w:rsid w:val="00386DFB"/>
    <w:rsid w:val="00390957"/>
    <w:rsid w:val="00391186"/>
    <w:rsid w:val="003962DD"/>
    <w:rsid w:val="003966CD"/>
    <w:rsid w:val="003A0B93"/>
    <w:rsid w:val="003A2B72"/>
    <w:rsid w:val="003A30F9"/>
    <w:rsid w:val="003A449C"/>
    <w:rsid w:val="003A46AD"/>
    <w:rsid w:val="003A68DE"/>
    <w:rsid w:val="003A6F2F"/>
    <w:rsid w:val="003B0CA6"/>
    <w:rsid w:val="003B22F5"/>
    <w:rsid w:val="003B5E49"/>
    <w:rsid w:val="003C015E"/>
    <w:rsid w:val="003C1031"/>
    <w:rsid w:val="003C1DE4"/>
    <w:rsid w:val="003C1FCA"/>
    <w:rsid w:val="003C2C40"/>
    <w:rsid w:val="003D03B8"/>
    <w:rsid w:val="003D4127"/>
    <w:rsid w:val="003D4953"/>
    <w:rsid w:val="003F0FFF"/>
    <w:rsid w:val="003F7748"/>
    <w:rsid w:val="004005E6"/>
    <w:rsid w:val="00402F24"/>
    <w:rsid w:val="00403C10"/>
    <w:rsid w:val="00406C78"/>
    <w:rsid w:val="00410C69"/>
    <w:rsid w:val="00411EA7"/>
    <w:rsid w:val="00417DAA"/>
    <w:rsid w:val="004201DB"/>
    <w:rsid w:val="00420225"/>
    <w:rsid w:val="00423044"/>
    <w:rsid w:val="004258C0"/>
    <w:rsid w:val="0042717D"/>
    <w:rsid w:val="00430664"/>
    <w:rsid w:val="00433460"/>
    <w:rsid w:val="0043747B"/>
    <w:rsid w:val="00440D8A"/>
    <w:rsid w:val="00441039"/>
    <w:rsid w:val="00444C2F"/>
    <w:rsid w:val="00447316"/>
    <w:rsid w:val="00450DDD"/>
    <w:rsid w:val="0045226F"/>
    <w:rsid w:val="00454875"/>
    <w:rsid w:val="00456963"/>
    <w:rsid w:val="00457406"/>
    <w:rsid w:val="004648C9"/>
    <w:rsid w:val="004651FB"/>
    <w:rsid w:val="00470854"/>
    <w:rsid w:val="00473193"/>
    <w:rsid w:val="004768CE"/>
    <w:rsid w:val="00477F53"/>
    <w:rsid w:val="00480187"/>
    <w:rsid w:val="00480A81"/>
    <w:rsid w:val="0048183F"/>
    <w:rsid w:val="0048187E"/>
    <w:rsid w:val="00482489"/>
    <w:rsid w:val="00484F73"/>
    <w:rsid w:val="004859F5"/>
    <w:rsid w:val="004865D4"/>
    <w:rsid w:val="00491D97"/>
    <w:rsid w:val="00493961"/>
    <w:rsid w:val="00494149"/>
    <w:rsid w:val="00495000"/>
    <w:rsid w:val="004972E8"/>
    <w:rsid w:val="004A031A"/>
    <w:rsid w:val="004A03E0"/>
    <w:rsid w:val="004A2538"/>
    <w:rsid w:val="004B0A74"/>
    <w:rsid w:val="004B1213"/>
    <w:rsid w:val="004B4C2A"/>
    <w:rsid w:val="004B65C8"/>
    <w:rsid w:val="004B7BE4"/>
    <w:rsid w:val="004C0A66"/>
    <w:rsid w:val="004C2457"/>
    <w:rsid w:val="004C6D24"/>
    <w:rsid w:val="004C6D93"/>
    <w:rsid w:val="004C741C"/>
    <w:rsid w:val="004E0272"/>
    <w:rsid w:val="004E0F1F"/>
    <w:rsid w:val="004E3930"/>
    <w:rsid w:val="004E408F"/>
    <w:rsid w:val="004E454B"/>
    <w:rsid w:val="004F0647"/>
    <w:rsid w:val="004F1983"/>
    <w:rsid w:val="004F227C"/>
    <w:rsid w:val="004F45D5"/>
    <w:rsid w:val="004F4D1B"/>
    <w:rsid w:val="004F6A36"/>
    <w:rsid w:val="004F6C06"/>
    <w:rsid w:val="00500B04"/>
    <w:rsid w:val="00502256"/>
    <w:rsid w:val="00505BA6"/>
    <w:rsid w:val="00507097"/>
    <w:rsid w:val="0050781A"/>
    <w:rsid w:val="00507BEE"/>
    <w:rsid w:val="00513E2F"/>
    <w:rsid w:val="005179F0"/>
    <w:rsid w:val="005217EB"/>
    <w:rsid w:val="005255A8"/>
    <w:rsid w:val="00526B30"/>
    <w:rsid w:val="005309E7"/>
    <w:rsid w:val="00534D0C"/>
    <w:rsid w:val="005405C2"/>
    <w:rsid w:val="00540988"/>
    <w:rsid w:val="00544F55"/>
    <w:rsid w:val="005508E7"/>
    <w:rsid w:val="00551836"/>
    <w:rsid w:val="00551A12"/>
    <w:rsid w:val="005524AB"/>
    <w:rsid w:val="00552C7C"/>
    <w:rsid w:val="0055407B"/>
    <w:rsid w:val="00554CB0"/>
    <w:rsid w:val="005554D6"/>
    <w:rsid w:val="00556E9D"/>
    <w:rsid w:val="0055775B"/>
    <w:rsid w:val="0056188B"/>
    <w:rsid w:val="00563F8F"/>
    <w:rsid w:val="00574584"/>
    <w:rsid w:val="00581268"/>
    <w:rsid w:val="00582AF7"/>
    <w:rsid w:val="00582BCC"/>
    <w:rsid w:val="00585D92"/>
    <w:rsid w:val="005907F9"/>
    <w:rsid w:val="00591BD4"/>
    <w:rsid w:val="00591E78"/>
    <w:rsid w:val="00592D00"/>
    <w:rsid w:val="00594C28"/>
    <w:rsid w:val="00597820"/>
    <w:rsid w:val="005A0F98"/>
    <w:rsid w:val="005A3333"/>
    <w:rsid w:val="005A3AF7"/>
    <w:rsid w:val="005B387B"/>
    <w:rsid w:val="005B4CBB"/>
    <w:rsid w:val="005C0103"/>
    <w:rsid w:val="005C2176"/>
    <w:rsid w:val="005C2F96"/>
    <w:rsid w:val="005C3F53"/>
    <w:rsid w:val="005C45B2"/>
    <w:rsid w:val="005C5136"/>
    <w:rsid w:val="005C5870"/>
    <w:rsid w:val="005D0FA4"/>
    <w:rsid w:val="005D3380"/>
    <w:rsid w:val="005D5988"/>
    <w:rsid w:val="005D5B15"/>
    <w:rsid w:val="005D624A"/>
    <w:rsid w:val="005D71F7"/>
    <w:rsid w:val="005E1267"/>
    <w:rsid w:val="005E2F6D"/>
    <w:rsid w:val="005F371A"/>
    <w:rsid w:val="005F641D"/>
    <w:rsid w:val="00601754"/>
    <w:rsid w:val="006030B9"/>
    <w:rsid w:val="00604CC9"/>
    <w:rsid w:val="00610149"/>
    <w:rsid w:val="00611059"/>
    <w:rsid w:val="00611A06"/>
    <w:rsid w:val="00611B7F"/>
    <w:rsid w:val="00612074"/>
    <w:rsid w:val="0061221D"/>
    <w:rsid w:val="00614614"/>
    <w:rsid w:val="00616047"/>
    <w:rsid w:val="00621E56"/>
    <w:rsid w:val="0062226A"/>
    <w:rsid w:val="006233F5"/>
    <w:rsid w:val="006251CE"/>
    <w:rsid w:val="00640DF5"/>
    <w:rsid w:val="00641B84"/>
    <w:rsid w:val="006426E2"/>
    <w:rsid w:val="00644683"/>
    <w:rsid w:val="00646628"/>
    <w:rsid w:val="00646990"/>
    <w:rsid w:val="00647B6B"/>
    <w:rsid w:val="00647BCB"/>
    <w:rsid w:val="00650B0B"/>
    <w:rsid w:val="00651E2D"/>
    <w:rsid w:val="00655406"/>
    <w:rsid w:val="0065596E"/>
    <w:rsid w:val="00656653"/>
    <w:rsid w:val="00660242"/>
    <w:rsid w:val="00664E5D"/>
    <w:rsid w:val="00670544"/>
    <w:rsid w:val="00672312"/>
    <w:rsid w:val="0067500A"/>
    <w:rsid w:val="006756D0"/>
    <w:rsid w:val="00676F80"/>
    <w:rsid w:val="00680293"/>
    <w:rsid w:val="006839C6"/>
    <w:rsid w:val="00683EA5"/>
    <w:rsid w:val="00683FF2"/>
    <w:rsid w:val="00684BFA"/>
    <w:rsid w:val="00687540"/>
    <w:rsid w:val="00691A06"/>
    <w:rsid w:val="00691DCD"/>
    <w:rsid w:val="006922B4"/>
    <w:rsid w:val="0069247C"/>
    <w:rsid w:val="00692656"/>
    <w:rsid w:val="00696115"/>
    <w:rsid w:val="006966B4"/>
    <w:rsid w:val="006967BA"/>
    <w:rsid w:val="00697066"/>
    <w:rsid w:val="00697DFF"/>
    <w:rsid w:val="00697F4B"/>
    <w:rsid w:val="006A183C"/>
    <w:rsid w:val="006A61C8"/>
    <w:rsid w:val="006A7815"/>
    <w:rsid w:val="006A7BC2"/>
    <w:rsid w:val="006B5FC4"/>
    <w:rsid w:val="006B7B52"/>
    <w:rsid w:val="006C1DFE"/>
    <w:rsid w:val="006D1964"/>
    <w:rsid w:val="006D23A1"/>
    <w:rsid w:val="006D44BE"/>
    <w:rsid w:val="006E0D3F"/>
    <w:rsid w:val="006E1818"/>
    <w:rsid w:val="006E1A8A"/>
    <w:rsid w:val="006E1B96"/>
    <w:rsid w:val="006E3F81"/>
    <w:rsid w:val="006E4A3B"/>
    <w:rsid w:val="006E5BA0"/>
    <w:rsid w:val="006F193A"/>
    <w:rsid w:val="006F2929"/>
    <w:rsid w:val="006F485F"/>
    <w:rsid w:val="006F5865"/>
    <w:rsid w:val="007020C1"/>
    <w:rsid w:val="00702496"/>
    <w:rsid w:val="007037DF"/>
    <w:rsid w:val="00712D13"/>
    <w:rsid w:val="00721318"/>
    <w:rsid w:val="007228D2"/>
    <w:rsid w:val="00722EBC"/>
    <w:rsid w:val="00725FCE"/>
    <w:rsid w:val="00730F82"/>
    <w:rsid w:val="00731EBF"/>
    <w:rsid w:val="007335C9"/>
    <w:rsid w:val="007337D9"/>
    <w:rsid w:val="007338A6"/>
    <w:rsid w:val="007350EE"/>
    <w:rsid w:val="0073561C"/>
    <w:rsid w:val="00735BE1"/>
    <w:rsid w:val="007414F8"/>
    <w:rsid w:val="0074186D"/>
    <w:rsid w:val="00744334"/>
    <w:rsid w:val="007445C5"/>
    <w:rsid w:val="00746F9C"/>
    <w:rsid w:val="00747EB1"/>
    <w:rsid w:val="00752D3B"/>
    <w:rsid w:val="00754D6E"/>
    <w:rsid w:val="007568CB"/>
    <w:rsid w:val="00756D3E"/>
    <w:rsid w:val="007601C9"/>
    <w:rsid w:val="00762E1A"/>
    <w:rsid w:val="0076584F"/>
    <w:rsid w:val="007759FE"/>
    <w:rsid w:val="00777A7C"/>
    <w:rsid w:val="00791583"/>
    <w:rsid w:val="007921A0"/>
    <w:rsid w:val="00792633"/>
    <w:rsid w:val="00796C46"/>
    <w:rsid w:val="007A040D"/>
    <w:rsid w:val="007A0C5F"/>
    <w:rsid w:val="007A51F8"/>
    <w:rsid w:val="007A6932"/>
    <w:rsid w:val="007B167E"/>
    <w:rsid w:val="007B1B34"/>
    <w:rsid w:val="007B411F"/>
    <w:rsid w:val="007C0AC0"/>
    <w:rsid w:val="007C1EB5"/>
    <w:rsid w:val="007C3AE4"/>
    <w:rsid w:val="007E27DE"/>
    <w:rsid w:val="007E4649"/>
    <w:rsid w:val="007E739B"/>
    <w:rsid w:val="007F2B54"/>
    <w:rsid w:val="007F4C87"/>
    <w:rsid w:val="007F5585"/>
    <w:rsid w:val="00800769"/>
    <w:rsid w:val="00800F21"/>
    <w:rsid w:val="00802147"/>
    <w:rsid w:val="00802780"/>
    <w:rsid w:val="00806625"/>
    <w:rsid w:val="00820500"/>
    <w:rsid w:val="00821333"/>
    <w:rsid w:val="00824426"/>
    <w:rsid w:val="00826A38"/>
    <w:rsid w:val="00826C2D"/>
    <w:rsid w:val="00832123"/>
    <w:rsid w:val="00836889"/>
    <w:rsid w:val="00836D1A"/>
    <w:rsid w:val="00842E08"/>
    <w:rsid w:val="0084624B"/>
    <w:rsid w:val="008466EC"/>
    <w:rsid w:val="00846BCB"/>
    <w:rsid w:val="0085529B"/>
    <w:rsid w:val="00855D7B"/>
    <w:rsid w:val="00862FDE"/>
    <w:rsid w:val="00864CE3"/>
    <w:rsid w:val="00871814"/>
    <w:rsid w:val="00876F89"/>
    <w:rsid w:val="00882C94"/>
    <w:rsid w:val="00891095"/>
    <w:rsid w:val="00891A5C"/>
    <w:rsid w:val="008932AB"/>
    <w:rsid w:val="008965C4"/>
    <w:rsid w:val="008A0E5C"/>
    <w:rsid w:val="008A59D2"/>
    <w:rsid w:val="008B4E45"/>
    <w:rsid w:val="008B7A94"/>
    <w:rsid w:val="008C1FAE"/>
    <w:rsid w:val="008C378C"/>
    <w:rsid w:val="008C40A4"/>
    <w:rsid w:val="008C75D4"/>
    <w:rsid w:val="008D3C60"/>
    <w:rsid w:val="008D4C83"/>
    <w:rsid w:val="008D7DBD"/>
    <w:rsid w:val="008E108E"/>
    <w:rsid w:val="008E1C90"/>
    <w:rsid w:val="008E4752"/>
    <w:rsid w:val="008E620E"/>
    <w:rsid w:val="008E73FF"/>
    <w:rsid w:val="008F5C4F"/>
    <w:rsid w:val="008F6315"/>
    <w:rsid w:val="008F65CA"/>
    <w:rsid w:val="009036BA"/>
    <w:rsid w:val="00907E86"/>
    <w:rsid w:val="00910D18"/>
    <w:rsid w:val="009110D1"/>
    <w:rsid w:val="00913B57"/>
    <w:rsid w:val="009179A4"/>
    <w:rsid w:val="00917B7B"/>
    <w:rsid w:val="00921008"/>
    <w:rsid w:val="0092296E"/>
    <w:rsid w:val="00922E4C"/>
    <w:rsid w:val="00930B0E"/>
    <w:rsid w:val="0093509B"/>
    <w:rsid w:val="00936DFC"/>
    <w:rsid w:val="00946DD0"/>
    <w:rsid w:val="00947649"/>
    <w:rsid w:val="0095214D"/>
    <w:rsid w:val="009546F1"/>
    <w:rsid w:val="00956712"/>
    <w:rsid w:val="0095683A"/>
    <w:rsid w:val="00957F3E"/>
    <w:rsid w:val="00964E9F"/>
    <w:rsid w:val="00971369"/>
    <w:rsid w:val="00972BFB"/>
    <w:rsid w:val="0097533A"/>
    <w:rsid w:val="00975984"/>
    <w:rsid w:val="009834B1"/>
    <w:rsid w:val="00985DDF"/>
    <w:rsid w:val="00986C79"/>
    <w:rsid w:val="0098736C"/>
    <w:rsid w:val="00996835"/>
    <w:rsid w:val="009A0BED"/>
    <w:rsid w:val="009A1892"/>
    <w:rsid w:val="009A3118"/>
    <w:rsid w:val="009B6044"/>
    <w:rsid w:val="009B72CB"/>
    <w:rsid w:val="009B7CDE"/>
    <w:rsid w:val="009B7F5C"/>
    <w:rsid w:val="009C4863"/>
    <w:rsid w:val="009C5DAA"/>
    <w:rsid w:val="009C7623"/>
    <w:rsid w:val="009D0F29"/>
    <w:rsid w:val="009D1D2E"/>
    <w:rsid w:val="009D2A7C"/>
    <w:rsid w:val="009E10AA"/>
    <w:rsid w:val="009E3E2E"/>
    <w:rsid w:val="009F1103"/>
    <w:rsid w:val="009F2CBB"/>
    <w:rsid w:val="00A005CC"/>
    <w:rsid w:val="00A016CC"/>
    <w:rsid w:val="00A02EA7"/>
    <w:rsid w:val="00A07182"/>
    <w:rsid w:val="00A077EB"/>
    <w:rsid w:val="00A110BC"/>
    <w:rsid w:val="00A1437E"/>
    <w:rsid w:val="00A15D44"/>
    <w:rsid w:val="00A17D40"/>
    <w:rsid w:val="00A20D41"/>
    <w:rsid w:val="00A21CC5"/>
    <w:rsid w:val="00A258A7"/>
    <w:rsid w:val="00A27F6F"/>
    <w:rsid w:val="00A32623"/>
    <w:rsid w:val="00A34370"/>
    <w:rsid w:val="00A37650"/>
    <w:rsid w:val="00A41C20"/>
    <w:rsid w:val="00A43FFF"/>
    <w:rsid w:val="00A44454"/>
    <w:rsid w:val="00A45288"/>
    <w:rsid w:val="00A459E8"/>
    <w:rsid w:val="00A50069"/>
    <w:rsid w:val="00A54FD0"/>
    <w:rsid w:val="00A616E5"/>
    <w:rsid w:val="00A64890"/>
    <w:rsid w:val="00A65A38"/>
    <w:rsid w:val="00A66BA3"/>
    <w:rsid w:val="00A67D06"/>
    <w:rsid w:val="00A7247B"/>
    <w:rsid w:val="00A725F6"/>
    <w:rsid w:val="00A803FA"/>
    <w:rsid w:val="00A85E4F"/>
    <w:rsid w:val="00A870D5"/>
    <w:rsid w:val="00A90087"/>
    <w:rsid w:val="00A9266B"/>
    <w:rsid w:val="00A93C15"/>
    <w:rsid w:val="00A9592C"/>
    <w:rsid w:val="00A96DAB"/>
    <w:rsid w:val="00A97103"/>
    <w:rsid w:val="00AA0DE6"/>
    <w:rsid w:val="00AB5FDD"/>
    <w:rsid w:val="00AB716F"/>
    <w:rsid w:val="00AC0ED5"/>
    <w:rsid w:val="00AC3916"/>
    <w:rsid w:val="00AD0430"/>
    <w:rsid w:val="00AD2F08"/>
    <w:rsid w:val="00AD356C"/>
    <w:rsid w:val="00AD6462"/>
    <w:rsid w:val="00AE229F"/>
    <w:rsid w:val="00AE2E35"/>
    <w:rsid w:val="00AE2FE5"/>
    <w:rsid w:val="00AE3E3A"/>
    <w:rsid w:val="00AE6EA1"/>
    <w:rsid w:val="00AF1A94"/>
    <w:rsid w:val="00AF3214"/>
    <w:rsid w:val="00AF3659"/>
    <w:rsid w:val="00AF5876"/>
    <w:rsid w:val="00AF6CC4"/>
    <w:rsid w:val="00B01039"/>
    <w:rsid w:val="00B02E01"/>
    <w:rsid w:val="00B04DC3"/>
    <w:rsid w:val="00B10383"/>
    <w:rsid w:val="00B11487"/>
    <w:rsid w:val="00B23A20"/>
    <w:rsid w:val="00B24C57"/>
    <w:rsid w:val="00B32434"/>
    <w:rsid w:val="00B40597"/>
    <w:rsid w:val="00B43979"/>
    <w:rsid w:val="00B506F8"/>
    <w:rsid w:val="00B517E3"/>
    <w:rsid w:val="00B51A9C"/>
    <w:rsid w:val="00B53C55"/>
    <w:rsid w:val="00B54299"/>
    <w:rsid w:val="00B56BD1"/>
    <w:rsid w:val="00B57BE6"/>
    <w:rsid w:val="00B602B1"/>
    <w:rsid w:val="00B61AAC"/>
    <w:rsid w:val="00B61B3B"/>
    <w:rsid w:val="00B61E51"/>
    <w:rsid w:val="00B64044"/>
    <w:rsid w:val="00B65890"/>
    <w:rsid w:val="00B661FE"/>
    <w:rsid w:val="00B66874"/>
    <w:rsid w:val="00B676E1"/>
    <w:rsid w:val="00B71E0D"/>
    <w:rsid w:val="00B7370D"/>
    <w:rsid w:val="00B74A9D"/>
    <w:rsid w:val="00B77BBF"/>
    <w:rsid w:val="00B81579"/>
    <w:rsid w:val="00B8523A"/>
    <w:rsid w:val="00B85975"/>
    <w:rsid w:val="00B85C9A"/>
    <w:rsid w:val="00B90313"/>
    <w:rsid w:val="00B93890"/>
    <w:rsid w:val="00B93D4A"/>
    <w:rsid w:val="00B94CCD"/>
    <w:rsid w:val="00B9746F"/>
    <w:rsid w:val="00BA2FCF"/>
    <w:rsid w:val="00BA5EE6"/>
    <w:rsid w:val="00BB6EEC"/>
    <w:rsid w:val="00BC049D"/>
    <w:rsid w:val="00BC0E49"/>
    <w:rsid w:val="00BC2568"/>
    <w:rsid w:val="00BC4E34"/>
    <w:rsid w:val="00BC67C5"/>
    <w:rsid w:val="00BC7D3E"/>
    <w:rsid w:val="00BD36CE"/>
    <w:rsid w:val="00BD378C"/>
    <w:rsid w:val="00BD4FBD"/>
    <w:rsid w:val="00BD6998"/>
    <w:rsid w:val="00BE11A4"/>
    <w:rsid w:val="00BE1B62"/>
    <w:rsid w:val="00BE56A8"/>
    <w:rsid w:val="00BE7D99"/>
    <w:rsid w:val="00BF067E"/>
    <w:rsid w:val="00BF4713"/>
    <w:rsid w:val="00BF664A"/>
    <w:rsid w:val="00BF74E3"/>
    <w:rsid w:val="00BF77CC"/>
    <w:rsid w:val="00C011C5"/>
    <w:rsid w:val="00C02EA0"/>
    <w:rsid w:val="00C0403D"/>
    <w:rsid w:val="00C04A14"/>
    <w:rsid w:val="00C060B7"/>
    <w:rsid w:val="00C06C39"/>
    <w:rsid w:val="00C06F71"/>
    <w:rsid w:val="00C1102C"/>
    <w:rsid w:val="00C122C3"/>
    <w:rsid w:val="00C126B6"/>
    <w:rsid w:val="00C158CE"/>
    <w:rsid w:val="00C16739"/>
    <w:rsid w:val="00C172B1"/>
    <w:rsid w:val="00C21E39"/>
    <w:rsid w:val="00C21EA4"/>
    <w:rsid w:val="00C25E95"/>
    <w:rsid w:val="00C25EBA"/>
    <w:rsid w:val="00C3168D"/>
    <w:rsid w:val="00C31A89"/>
    <w:rsid w:val="00C34167"/>
    <w:rsid w:val="00C37EF5"/>
    <w:rsid w:val="00C40527"/>
    <w:rsid w:val="00C43235"/>
    <w:rsid w:val="00C44B2F"/>
    <w:rsid w:val="00C45F28"/>
    <w:rsid w:val="00C502A6"/>
    <w:rsid w:val="00C52A24"/>
    <w:rsid w:val="00C52E45"/>
    <w:rsid w:val="00C5446E"/>
    <w:rsid w:val="00C56660"/>
    <w:rsid w:val="00C61CBF"/>
    <w:rsid w:val="00C62A55"/>
    <w:rsid w:val="00C64667"/>
    <w:rsid w:val="00C66161"/>
    <w:rsid w:val="00C6757B"/>
    <w:rsid w:val="00C706BC"/>
    <w:rsid w:val="00C72EEE"/>
    <w:rsid w:val="00C732B2"/>
    <w:rsid w:val="00C732FB"/>
    <w:rsid w:val="00C73385"/>
    <w:rsid w:val="00C73F18"/>
    <w:rsid w:val="00C76ED6"/>
    <w:rsid w:val="00C77D93"/>
    <w:rsid w:val="00C83372"/>
    <w:rsid w:val="00C83C56"/>
    <w:rsid w:val="00C862C3"/>
    <w:rsid w:val="00C90263"/>
    <w:rsid w:val="00C926ED"/>
    <w:rsid w:val="00C933B7"/>
    <w:rsid w:val="00C96501"/>
    <w:rsid w:val="00CA20E7"/>
    <w:rsid w:val="00CA365C"/>
    <w:rsid w:val="00CA5C3C"/>
    <w:rsid w:val="00CA5F01"/>
    <w:rsid w:val="00CA6065"/>
    <w:rsid w:val="00CA6A09"/>
    <w:rsid w:val="00CB074A"/>
    <w:rsid w:val="00CB22F4"/>
    <w:rsid w:val="00CB450A"/>
    <w:rsid w:val="00CB60BC"/>
    <w:rsid w:val="00CB6D0D"/>
    <w:rsid w:val="00CB7B15"/>
    <w:rsid w:val="00CC1451"/>
    <w:rsid w:val="00CD0473"/>
    <w:rsid w:val="00CD2C31"/>
    <w:rsid w:val="00CE701C"/>
    <w:rsid w:val="00CE7BB0"/>
    <w:rsid w:val="00CF30AC"/>
    <w:rsid w:val="00CF4BED"/>
    <w:rsid w:val="00CF4C13"/>
    <w:rsid w:val="00D01A94"/>
    <w:rsid w:val="00D02AE5"/>
    <w:rsid w:val="00D04FAE"/>
    <w:rsid w:val="00D05403"/>
    <w:rsid w:val="00D1211B"/>
    <w:rsid w:val="00D16C0A"/>
    <w:rsid w:val="00D16FF0"/>
    <w:rsid w:val="00D17190"/>
    <w:rsid w:val="00D2211A"/>
    <w:rsid w:val="00D22BB0"/>
    <w:rsid w:val="00D239F4"/>
    <w:rsid w:val="00D249F3"/>
    <w:rsid w:val="00D25AB7"/>
    <w:rsid w:val="00D25BB9"/>
    <w:rsid w:val="00D27DC0"/>
    <w:rsid w:val="00D341B1"/>
    <w:rsid w:val="00D3555B"/>
    <w:rsid w:val="00D3608E"/>
    <w:rsid w:val="00D409B7"/>
    <w:rsid w:val="00D449E7"/>
    <w:rsid w:val="00D4533D"/>
    <w:rsid w:val="00D458F0"/>
    <w:rsid w:val="00D50AEA"/>
    <w:rsid w:val="00D52FD5"/>
    <w:rsid w:val="00D551E7"/>
    <w:rsid w:val="00D576E2"/>
    <w:rsid w:val="00D62700"/>
    <w:rsid w:val="00D6294B"/>
    <w:rsid w:val="00D639F0"/>
    <w:rsid w:val="00D64761"/>
    <w:rsid w:val="00D674A1"/>
    <w:rsid w:val="00D67C3A"/>
    <w:rsid w:val="00D74218"/>
    <w:rsid w:val="00D82E85"/>
    <w:rsid w:val="00D874F2"/>
    <w:rsid w:val="00D87C53"/>
    <w:rsid w:val="00D91ED9"/>
    <w:rsid w:val="00D926FB"/>
    <w:rsid w:val="00D92B0C"/>
    <w:rsid w:val="00D936F8"/>
    <w:rsid w:val="00D946AB"/>
    <w:rsid w:val="00D94DB3"/>
    <w:rsid w:val="00D96529"/>
    <w:rsid w:val="00DA3C97"/>
    <w:rsid w:val="00DA54BE"/>
    <w:rsid w:val="00DA58FE"/>
    <w:rsid w:val="00DA6522"/>
    <w:rsid w:val="00DB01F8"/>
    <w:rsid w:val="00DB1149"/>
    <w:rsid w:val="00DB1210"/>
    <w:rsid w:val="00DB4F19"/>
    <w:rsid w:val="00DB565B"/>
    <w:rsid w:val="00DC1412"/>
    <w:rsid w:val="00DC3725"/>
    <w:rsid w:val="00DC4269"/>
    <w:rsid w:val="00DC4E21"/>
    <w:rsid w:val="00DC5CA5"/>
    <w:rsid w:val="00DD0831"/>
    <w:rsid w:val="00DD3AAE"/>
    <w:rsid w:val="00DD45D2"/>
    <w:rsid w:val="00DD4ED6"/>
    <w:rsid w:val="00DD5231"/>
    <w:rsid w:val="00DD6F26"/>
    <w:rsid w:val="00DE1255"/>
    <w:rsid w:val="00DE31A3"/>
    <w:rsid w:val="00DE71E3"/>
    <w:rsid w:val="00DF0E8B"/>
    <w:rsid w:val="00DF2443"/>
    <w:rsid w:val="00DF42B0"/>
    <w:rsid w:val="00DF5F18"/>
    <w:rsid w:val="00DF7E72"/>
    <w:rsid w:val="00E02163"/>
    <w:rsid w:val="00E03E47"/>
    <w:rsid w:val="00E05B72"/>
    <w:rsid w:val="00E11701"/>
    <w:rsid w:val="00E14A2F"/>
    <w:rsid w:val="00E14CA3"/>
    <w:rsid w:val="00E15BC9"/>
    <w:rsid w:val="00E210DF"/>
    <w:rsid w:val="00E23D8A"/>
    <w:rsid w:val="00E370E2"/>
    <w:rsid w:val="00E43E53"/>
    <w:rsid w:val="00E457A7"/>
    <w:rsid w:val="00E46CB3"/>
    <w:rsid w:val="00E50337"/>
    <w:rsid w:val="00E53F5F"/>
    <w:rsid w:val="00E55692"/>
    <w:rsid w:val="00E56FA4"/>
    <w:rsid w:val="00E6029A"/>
    <w:rsid w:val="00E63684"/>
    <w:rsid w:val="00E65099"/>
    <w:rsid w:val="00E7004F"/>
    <w:rsid w:val="00E71D49"/>
    <w:rsid w:val="00E74180"/>
    <w:rsid w:val="00E81EE4"/>
    <w:rsid w:val="00E84825"/>
    <w:rsid w:val="00E86628"/>
    <w:rsid w:val="00E90D6F"/>
    <w:rsid w:val="00E937E8"/>
    <w:rsid w:val="00E960A9"/>
    <w:rsid w:val="00EA3460"/>
    <w:rsid w:val="00EA3C02"/>
    <w:rsid w:val="00EA64E1"/>
    <w:rsid w:val="00EB568A"/>
    <w:rsid w:val="00EB6419"/>
    <w:rsid w:val="00EB6826"/>
    <w:rsid w:val="00EB7676"/>
    <w:rsid w:val="00EC1287"/>
    <w:rsid w:val="00ED0708"/>
    <w:rsid w:val="00ED2EC1"/>
    <w:rsid w:val="00ED44FC"/>
    <w:rsid w:val="00ED4C70"/>
    <w:rsid w:val="00ED5C74"/>
    <w:rsid w:val="00EE09D0"/>
    <w:rsid w:val="00EE0D10"/>
    <w:rsid w:val="00EE1386"/>
    <w:rsid w:val="00EE3E3A"/>
    <w:rsid w:val="00EE4779"/>
    <w:rsid w:val="00F02438"/>
    <w:rsid w:val="00F07E28"/>
    <w:rsid w:val="00F12116"/>
    <w:rsid w:val="00F14E0D"/>
    <w:rsid w:val="00F16D02"/>
    <w:rsid w:val="00F17682"/>
    <w:rsid w:val="00F27499"/>
    <w:rsid w:val="00F30B68"/>
    <w:rsid w:val="00F32F10"/>
    <w:rsid w:val="00F37ACE"/>
    <w:rsid w:val="00F422E1"/>
    <w:rsid w:val="00F45357"/>
    <w:rsid w:val="00F47A05"/>
    <w:rsid w:val="00F518BF"/>
    <w:rsid w:val="00F527FF"/>
    <w:rsid w:val="00F66BC4"/>
    <w:rsid w:val="00F66C3E"/>
    <w:rsid w:val="00F70808"/>
    <w:rsid w:val="00F728F5"/>
    <w:rsid w:val="00F74460"/>
    <w:rsid w:val="00F744B6"/>
    <w:rsid w:val="00F74704"/>
    <w:rsid w:val="00F7768F"/>
    <w:rsid w:val="00F83146"/>
    <w:rsid w:val="00F83367"/>
    <w:rsid w:val="00F86147"/>
    <w:rsid w:val="00F87DE3"/>
    <w:rsid w:val="00F92F39"/>
    <w:rsid w:val="00F949AA"/>
    <w:rsid w:val="00F96688"/>
    <w:rsid w:val="00F97210"/>
    <w:rsid w:val="00FA7DCD"/>
    <w:rsid w:val="00FB0EA3"/>
    <w:rsid w:val="00FB1CE0"/>
    <w:rsid w:val="00FC235D"/>
    <w:rsid w:val="00FC3ED3"/>
    <w:rsid w:val="00FC4A8F"/>
    <w:rsid w:val="00FC4B84"/>
    <w:rsid w:val="00FC5231"/>
    <w:rsid w:val="00FC625E"/>
    <w:rsid w:val="00FC7ED0"/>
    <w:rsid w:val="00FC7F51"/>
    <w:rsid w:val="00FD0070"/>
    <w:rsid w:val="00FD06DB"/>
    <w:rsid w:val="00FD6682"/>
    <w:rsid w:val="00FD7472"/>
    <w:rsid w:val="00FE0282"/>
    <w:rsid w:val="00FE087A"/>
    <w:rsid w:val="00FE1C23"/>
    <w:rsid w:val="00FE35F5"/>
    <w:rsid w:val="00FE3904"/>
    <w:rsid w:val="00FE3D1C"/>
    <w:rsid w:val="00FE5268"/>
    <w:rsid w:val="00FE781C"/>
    <w:rsid w:val="00FF66D4"/>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0B0BCF-2FF3-4265-837E-8B59874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heme="minorBidi"/>
      <w:sz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F42B0"/>
    <w:pPr>
      <w:tabs>
        <w:tab w:val="left" w:pos="432"/>
        <w:tab w:val="left" w:pos="4320"/>
      </w:tabs>
      <w:spacing w:after="240" w:line="240" w:lineRule="auto"/>
    </w:pPr>
    <w:rPr>
      <w:rFonts w:ascii="Candara" w:hAnsi="Candara" w:cstheme="minorBidi"/>
      <w:sz w:val="22"/>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inRDA">
    <w:name w:val="Main RDA"/>
    <w:basedOn w:val="Normal"/>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15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0D"/>
    <w:rPr>
      <w:rFonts w:asciiTheme="minorHAnsi" w:hAnsiTheme="minorHAnsi" w:cstheme="minorBidi"/>
      <w:sz w:val="22"/>
    </w:rPr>
  </w:style>
  <w:style w:type="paragraph" w:styleId="Footer">
    <w:name w:val="footer"/>
    <w:basedOn w:val="Normal"/>
    <w:link w:val="FooterChar"/>
    <w:uiPriority w:val="99"/>
    <w:unhideWhenUsed/>
    <w:rsid w:val="0015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0D"/>
    <w:rPr>
      <w:rFonts w:asciiTheme="minorHAnsi" w:hAnsiTheme="minorHAnsi" w:cstheme="minorBidi"/>
      <w:sz w:val="22"/>
    </w:rPr>
  </w:style>
  <w:style w:type="paragraph" w:styleId="FootnoteText">
    <w:name w:val="footnote text"/>
    <w:basedOn w:val="Normal"/>
    <w:link w:val="FootnoteTextChar"/>
    <w:uiPriority w:val="99"/>
    <w:semiHidden/>
    <w:unhideWhenUsed/>
    <w:rsid w:val="00B04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C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4DC3"/>
    <w:rPr>
      <w:vertAlign w:val="superscript"/>
    </w:rPr>
  </w:style>
  <w:style w:type="character" w:styleId="FollowedHyperlink">
    <w:name w:val="FollowedHyperlink"/>
    <w:basedOn w:val="DefaultParagraphFont"/>
    <w:uiPriority w:val="99"/>
    <w:semiHidden/>
    <w:unhideWhenUsed/>
    <w:rsid w:val="00505BA6"/>
    <w:rPr>
      <w:color w:val="954F72" w:themeColor="followedHyperlink"/>
      <w:u w:val="single"/>
    </w:rPr>
  </w:style>
  <w:style w:type="character" w:styleId="Mention">
    <w:name w:val="Mention"/>
    <w:basedOn w:val="DefaultParagraphFont"/>
    <w:uiPriority w:val="99"/>
    <w:semiHidden/>
    <w:unhideWhenUsed/>
    <w:rsid w:val="00722EBC"/>
    <w:rPr>
      <w:color w:val="2B579A"/>
      <w:shd w:val="clear" w:color="auto" w:fill="E6E6E6"/>
    </w:rPr>
  </w:style>
  <w:style w:type="paragraph" w:customStyle="1" w:styleId="SlideTitle">
    <w:name w:val="Slide Title"/>
    <w:basedOn w:val="Normal"/>
    <w:rsid w:val="001B3791"/>
    <w:pPr>
      <w:spacing w:before="240" w:after="0" w:line="360" w:lineRule="auto"/>
    </w:pPr>
    <w:rPr>
      <w:rFonts w:ascii="Trebuchet MS" w:eastAsia="Times New Roman" w:hAnsi="Trebuchet MS" w:cs="Times New Roman"/>
      <w:b/>
      <w:sz w:val="24"/>
      <w:szCs w:val="20"/>
    </w:rPr>
  </w:style>
  <w:style w:type="paragraph" w:customStyle="1" w:styleId="MainText">
    <w:name w:val="MainText"/>
    <w:basedOn w:val="Normal"/>
    <w:link w:val="MainTextChar1"/>
    <w:rsid w:val="001B3791"/>
    <w:pPr>
      <w:spacing w:after="240" w:line="240" w:lineRule="auto"/>
    </w:pPr>
    <w:rPr>
      <w:rFonts w:ascii="Times New Roman" w:eastAsia="Times New Roman" w:hAnsi="Times New Roman" w:cs="Times New Roman"/>
      <w:sz w:val="24"/>
      <w:szCs w:val="24"/>
    </w:rPr>
  </w:style>
  <w:style w:type="character" w:customStyle="1" w:styleId="MainTextChar1">
    <w:name w:val="MainText Char1"/>
    <w:link w:val="MainText"/>
    <w:rsid w:val="001B3791"/>
    <w:rPr>
      <w:rFonts w:eastAsia="Times New Roman"/>
      <w:szCs w:val="24"/>
    </w:rPr>
  </w:style>
  <w:style w:type="paragraph" w:customStyle="1" w:styleId="BoxText">
    <w:name w:val="Box Text"/>
    <w:basedOn w:val="Normal"/>
    <w:rsid w:val="00D576E2"/>
    <w:pPr>
      <w:spacing w:after="0" w:line="240" w:lineRule="auto"/>
    </w:pPr>
    <w:rPr>
      <w:rFonts w:ascii="Times New Roman" w:eastAsia="Times New Roman" w:hAnsi="Times New Roman" w:cs="Times New Roman"/>
      <w:sz w:val="24"/>
      <w:szCs w:val="24"/>
    </w:rPr>
  </w:style>
  <w:style w:type="paragraph" w:customStyle="1" w:styleId="BulletText">
    <w:name w:val="Bullet Text"/>
    <w:basedOn w:val="Normal"/>
    <w:rsid w:val="00D576E2"/>
    <w:pPr>
      <w:spacing w:after="240" w:line="240" w:lineRule="auto"/>
      <w:ind w:left="576" w:hanging="576"/>
    </w:pPr>
    <w:rPr>
      <w:rFonts w:ascii="Times New Roman" w:eastAsia="Times New Roman" w:hAnsi="Times New Roman" w:cs="Times New Roman"/>
      <w:sz w:val="24"/>
      <w:szCs w:val="24"/>
    </w:rPr>
  </w:style>
  <w:style w:type="paragraph" w:customStyle="1" w:styleId="BoxTitle">
    <w:name w:val="Box Title"/>
    <w:basedOn w:val="Normal"/>
    <w:next w:val="Normal"/>
    <w:rsid w:val="00D576E2"/>
    <w:pPr>
      <w:spacing w:before="120" w:after="0" w:line="360" w:lineRule="auto"/>
    </w:pPr>
    <w:rPr>
      <w:rFonts w:ascii="Trebuchet MS" w:eastAsia="Times New Roman" w:hAnsi="Trebuchet MS" w:cs="Times New Roman"/>
      <w:b/>
      <w:sz w:val="24"/>
      <w:szCs w:val="24"/>
    </w:rPr>
  </w:style>
  <w:style w:type="paragraph" w:customStyle="1" w:styleId="Header1">
    <w:name w:val="Header 1"/>
    <w:basedOn w:val="SlideTitle"/>
    <w:link w:val="Header1Char"/>
    <w:autoRedefine/>
    <w:rsid w:val="007228D2"/>
    <w:pPr>
      <w:spacing w:before="120"/>
    </w:pPr>
    <w:rPr>
      <w:szCs w:val="24"/>
    </w:rPr>
  </w:style>
  <w:style w:type="paragraph" w:customStyle="1" w:styleId="SlideOperation">
    <w:name w:val="SlideOperation"/>
    <w:basedOn w:val="MainText"/>
    <w:next w:val="MainText"/>
    <w:rsid w:val="007228D2"/>
    <w:pPr>
      <w:spacing w:before="240" w:after="360"/>
      <w:ind w:left="720" w:hanging="720"/>
    </w:pPr>
    <w:rPr>
      <w:rFonts w:ascii="Trebuchet MS" w:hAnsi="Trebuchet MS"/>
      <w:sz w:val="20"/>
      <w:szCs w:val="20"/>
    </w:rPr>
  </w:style>
  <w:style w:type="character" w:customStyle="1" w:styleId="Header1Char">
    <w:name w:val="Header 1 Char"/>
    <w:link w:val="Header1"/>
    <w:rsid w:val="007228D2"/>
    <w:rPr>
      <w:rFonts w:ascii="Trebuchet MS" w:eastAsia="Times New Roman" w:hAnsi="Trebuchet MS"/>
      <w:b/>
      <w:szCs w:val="24"/>
    </w:rPr>
  </w:style>
  <w:style w:type="paragraph" w:customStyle="1" w:styleId="Header-Regular1">
    <w:name w:val="Header-Regular1"/>
    <w:basedOn w:val="NoSpacing"/>
    <w:next w:val="NoSpacing"/>
    <w:link w:val="Header-Regular1Char"/>
    <w:qFormat/>
    <w:rsid w:val="00E71D49"/>
    <w:pPr>
      <w:spacing w:before="240" w:after="0"/>
    </w:pPr>
    <w:rPr>
      <w:b/>
    </w:rPr>
  </w:style>
  <w:style w:type="paragraph" w:customStyle="1" w:styleId="SlideNumberandTitle">
    <w:name w:val="Slide Number and Title"/>
    <w:basedOn w:val="Header-Regular1"/>
    <w:link w:val="SlideNumberandTitleChar"/>
    <w:qFormat/>
    <w:rsid w:val="000314A8"/>
    <w:pPr>
      <w:numPr>
        <w:numId w:val="1"/>
      </w:numPr>
      <w:spacing w:before="0" w:after="120"/>
      <w:ind w:left="0" w:firstLine="0"/>
    </w:pPr>
    <w:rPr>
      <w:color w:val="1F3864" w:themeColor="accent1" w:themeShade="80"/>
      <w:sz w:val="28"/>
    </w:rPr>
  </w:style>
  <w:style w:type="character" w:customStyle="1" w:styleId="NoSpacingChar">
    <w:name w:val="No Spacing Char"/>
    <w:basedOn w:val="DefaultParagraphFont"/>
    <w:link w:val="NoSpacing"/>
    <w:uiPriority w:val="1"/>
    <w:rsid w:val="00DF42B0"/>
    <w:rPr>
      <w:rFonts w:ascii="Candara" w:hAnsi="Candara" w:cstheme="minorBidi"/>
      <w:sz w:val="22"/>
    </w:rPr>
  </w:style>
  <w:style w:type="character" w:customStyle="1" w:styleId="Header-Regular1Char">
    <w:name w:val="Header-Regular1 Char"/>
    <w:basedOn w:val="NoSpacingChar"/>
    <w:link w:val="Header-Regular1"/>
    <w:rsid w:val="00E71D49"/>
    <w:rPr>
      <w:rFonts w:ascii="Candara" w:hAnsi="Candara" w:cstheme="minorBidi"/>
      <w:b/>
      <w:sz w:val="22"/>
    </w:rPr>
  </w:style>
  <w:style w:type="character" w:customStyle="1" w:styleId="SlideNumberandTitleChar">
    <w:name w:val="Slide Number and Title Char"/>
    <w:basedOn w:val="Header-Regular1Char"/>
    <w:link w:val="SlideNumberandTitle"/>
    <w:rsid w:val="000314A8"/>
    <w:rPr>
      <w:rFonts w:ascii="Candara" w:hAnsi="Candara" w:cstheme="minorBidi"/>
      <w:b/>
      <w:color w:val="1F3864" w:themeColor="accent1" w:themeShade="80"/>
      <w:sz w:val="28"/>
    </w:rPr>
  </w:style>
  <w:style w:type="paragraph" w:styleId="NormalWeb">
    <w:name w:val="Normal (Web)"/>
    <w:basedOn w:val="Normal"/>
    <w:uiPriority w:val="99"/>
    <w:semiHidden/>
    <w:unhideWhenUsed/>
    <w:rsid w:val="003410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8B0"/>
    <w:pPr>
      <w:ind w:left="720"/>
      <w:contextualSpacing/>
    </w:pPr>
  </w:style>
  <w:style w:type="paragraph" w:styleId="Caption">
    <w:name w:val="caption"/>
    <w:basedOn w:val="Normal"/>
    <w:next w:val="Normal"/>
    <w:uiPriority w:val="35"/>
    <w:unhideWhenUsed/>
    <w:qFormat/>
    <w:rsid w:val="00D04FAE"/>
    <w:pPr>
      <w:spacing w:after="200" w:line="240" w:lineRule="auto"/>
    </w:pPr>
    <w:rPr>
      <w:i/>
      <w:iCs/>
      <w:color w:val="44546A" w:themeColor="text2"/>
      <w:sz w:val="18"/>
      <w:szCs w:val="18"/>
    </w:rPr>
  </w:style>
  <w:style w:type="character" w:customStyle="1" w:styleId="MainTextChar">
    <w:name w:val="MainText Char"/>
    <w:rsid w:val="009D1D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6688"/>
    <w:rPr>
      <w:color w:val="808080"/>
      <w:shd w:val="clear" w:color="auto" w:fill="E6E6E6"/>
    </w:rPr>
  </w:style>
  <w:style w:type="table" w:styleId="TableGrid">
    <w:name w:val="Table Grid"/>
    <w:basedOn w:val="TableNormal"/>
    <w:uiPriority w:val="39"/>
    <w:rsid w:val="00DD6F26"/>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795">
      <w:bodyDiv w:val="1"/>
      <w:marLeft w:val="0"/>
      <w:marRight w:val="0"/>
      <w:marTop w:val="0"/>
      <w:marBottom w:val="0"/>
      <w:divBdr>
        <w:top w:val="none" w:sz="0" w:space="0" w:color="auto"/>
        <w:left w:val="none" w:sz="0" w:space="0" w:color="auto"/>
        <w:bottom w:val="none" w:sz="0" w:space="0" w:color="auto"/>
        <w:right w:val="none" w:sz="0" w:space="0" w:color="auto"/>
      </w:divBdr>
    </w:div>
    <w:div w:id="260144556">
      <w:bodyDiv w:val="1"/>
      <w:marLeft w:val="0"/>
      <w:marRight w:val="0"/>
      <w:marTop w:val="0"/>
      <w:marBottom w:val="0"/>
      <w:divBdr>
        <w:top w:val="none" w:sz="0" w:space="0" w:color="auto"/>
        <w:left w:val="none" w:sz="0" w:space="0" w:color="auto"/>
        <w:bottom w:val="none" w:sz="0" w:space="0" w:color="auto"/>
        <w:right w:val="none" w:sz="0" w:space="0" w:color="auto"/>
      </w:divBdr>
    </w:div>
    <w:div w:id="399448811">
      <w:bodyDiv w:val="1"/>
      <w:marLeft w:val="0"/>
      <w:marRight w:val="0"/>
      <w:marTop w:val="0"/>
      <w:marBottom w:val="0"/>
      <w:divBdr>
        <w:top w:val="none" w:sz="0" w:space="0" w:color="auto"/>
        <w:left w:val="none" w:sz="0" w:space="0" w:color="auto"/>
        <w:bottom w:val="none" w:sz="0" w:space="0" w:color="auto"/>
        <w:right w:val="none" w:sz="0" w:space="0" w:color="auto"/>
      </w:divBdr>
    </w:div>
    <w:div w:id="472603255">
      <w:bodyDiv w:val="1"/>
      <w:marLeft w:val="0"/>
      <w:marRight w:val="0"/>
      <w:marTop w:val="0"/>
      <w:marBottom w:val="0"/>
      <w:divBdr>
        <w:top w:val="none" w:sz="0" w:space="0" w:color="auto"/>
        <w:left w:val="none" w:sz="0" w:space="0" w:color="auto"/>
        <w:bottom w:val="none" w:sz="0" w:space="0" w:color="auto"/>
        <w:right w:val="none" w:sz="0" w:space="0" w:color="auto"/>
      </w:divBdr>
    </w:div>
    <w:div w:id="1138645762">
      <w:bodyDiv w:val="1"/>
      <w:marLeft w:val="0"/>
      <w:marRight w:val="0"/>
      <w:marTop w:val="0"/>
      <w:marBottom w:val="0"/>
      <w:divBdr>
        <w:top w:val="none" w:sz="0" w:space="0" w:color="auto"/>
        <w:left w:val="none" w:sz="0" w:space="0" w:color="auto"/>
        <w:bottom w:val="none" w:sz="0" w:space="0" w:color="auto"/>
        <w:right w:val="none" w:sz="0" w:space="0" w:color="auto"/>
      </w:divBdr>
    </w:div>
    <w:div w:id="1153789688">
      <w:bodyDiv w:val="1"/>
      <w:marLeft w:val="0"/>
      <w:marRight w:val="0"/>
      <w:marTop w:val="0"/>
      <w:marBottom w:val="0"/>
      <w:divBdr>
        <w:top w:val="none" w:sz="0" w:space="0" w:color="auto"/>
        <w:left w:val="none" w:sz="0" w:space="0" w:color="auto"/>
        <w:bottom w:val="none" w:sz="0" w:space="0" w:color="auto"/>
        <w:right w:val="none" w:sz="0" w:space="0" w:color="auto"/>
      </w:divBdr>
    </w:div>
    <w:div w:id="1237089861">
      <w:bodyDiv w:val="1"/>
      <w:marLeft w:val="0"/>
      <w:marRight w:val="0"/>
      <w:marTop w:val="0"/>
      <w:marBottom w:val="0"/>
      <w:divBdr>
        <w:top w:val="none" w:sz="0" w:space="0" w:color="auto"/>
        <w:left w:val="none" w:sz="0" w:space="0" w:color="auto"/>
        <w:bottom w:val="none" w:sz="0" w:space="0" w:color="auto"/>
        <w:right w:val="none" w:sz="0" w:space="0" w:color="auto"/>
      </w:divBdr>
    </w:div>
    <w:div w:id="1353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ep.grads360.or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rentcenter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765A-2689-4A8C-87BF-EFE749C4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30</cp:revision>
  <cp:lastPrinted>2017-10-02T18:04:00Z</cp:lastPrinted>
  <dcterms:created xsi:type="dcterms:W3CDTF">2018-09-05T20:10:00Z</dcterms:created>
  <dcterms:modified xsi:type="dcterms:W3CDTF">2018-10-17T18:43:00Z</dcterms:modified>
</cp:coreProperties>
</file>