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06F34" w14:textId="32A7DB37" w:rsidR="0010097D" w:rsidRDefault="00A97AA6" w:rsidP="00AE1105">
      <w:pPr>
        <w:pStyle w:val="Default"/>
        <w:spacing w:before="600" w:after="240"/>
        <w:ind w:left="-720" w:right="-720"/>
        <w:jc w:val="center"/>
        <w:rPr>
          <w:rFonts w:ascii="Source Sans Pro" w:hAnsi="Source Sans Pro"/>
          <w:color w:val="auto"/>
          <w:sz w:val="44"/>
          <w:szCs w:val="32"/>
        </w:rPr>
      </w:pPr>
      <w:r w:rsidRPr="00392750">
        <w:rPr>
          <w:rFonts w:ascii="Source Sans Pro" w:hAnsi="Source Sans Pro" w:cs="Gadugi"/>
          <w:b/>
          <w:smallCaps/>
          <w:color w:val="800000"/>
          <w:sz w:val="48"/>
          <w:szCs w:val="32"/>
        </w:rPr>
        <w:t>Fact Sheet</w:t>
      </w:r>
      <w:r>
        <w:rPr>
          <w:rFonts w:ascii="Source Sans Pro" w:hAnsi="Source Sans Pro" w:cs="Gadugi"/>
          <w:b/>
          <w:smallCaps/>
          <w:color w:val="C00000"/>
          <w:sz w:val="48"/>
          <w:szCs w:val="32"/>
        </w:rPr>
        <w:br/>
      </w:r>
      <w:r w:rsidR="00F74DD0" w:rsidRPr="00F74DD0">
        <w:rPr>
          <w:rFonts w:ascii="Source Sans Pro" w:hAnsi="Source Sans Pro"/>
          <w:sz w:val="36"/>
          <w:szCs w:val="28"/>
        </w:rPr>
        <w:t xml:space="preserve">Statewide Accountability System and </w:t>
      </w:r>
      <w:r w:rsidR="00F74DD0" w:rsidRPr="00F74DD0">
        <w:rPr>
          <w:rFonts w:ascii="Source Sans Pro" w:hAnsi="Source Sans Pro"/>
          <w:sz w:val="36"/>
          <w:szCs w:val="28"/>
        </w:rPr>
        <w:br/>
        <w:t>School Support and Improvement Activities</w:t>
      </w:r>
      <w:bookmarkStart w:id="0" w:name="_GoBack"/>
      <w:bookmarkEnd w:id="0"/>
    </w:p>
    <w:p w14:paraId="17E71567" w14:textId="77777777" w:rsidR="0010097D" w:rsidRDefault="0010097D">
      <w:pPr>
        <w:pStyle w:val="Default"/>
        <w:rPr>
          <w:rFonts w:cs="Times New Roman"/>
          <w:color w:val="auto"/>
        </w:rPr>
      </w:pPr>
    </w:p>
    <w:p w14:paraId="172CDF78" w14:textId="77777777" w:rsidR="0010097D" w:rsidRDefault="0010097D">
      <w:pPr>
        <w:pStyle w:val="Default"/>
        <w:jc w:val="right"/>
        <w:rPr>
          <w:rFonts w:cs="Times New Roman"/>
          <w:color w:val="auto"/>
        </w:rPr>
      </w:pPr>
    </w:p>
    <w:p w14:paraId="2F85CA46" w14:textId="77777777" w:rsidR="00F74DD0" w:rsidRPr="006631E2" w:rsidRDefault="00F74DD0" w:rsidP="0043237C">
      <w:pPr>
        <w:spacing w:after="100" w:afterAutospacing="1"/>
        <w:jc w:val="center"/>
        <w:rPr>
          <w:rFonts w:ascii="Source Sans Pro" w:hAnsi="Source Sans Pro"/>
          <w:color w:val="053C70"/>
          <w:sz w:val="28"/>
          <w:szCs w:val="24"/>
        </w:rPr>
      </w:pPr>
      <w:r w:rsidRPr="006631E2">
        <w:rPr>
          <w:rFonts w:ascii="Source Sans Pro" w:hAnsi="Source Sans Pro"/>
          <w:b/>
          <w:color w:val="053C70"/>
          <w:sz w:val="28"/>
          <w:szCs w:val="24"/>
        </w:rPr>
        <w:t>Statewide Accountability System</w:t>
      </w:r>
    </w:p>
    <w:p w14:paraId="3AADA470" w14:textId="77777777" w:rsidR="00F74DD0" w:rsidRPr="00DC089A" w:rsidRDefault="00F74DD0" w:rsidP="00F74DD0">
      <w:pPr>
        <w:spacing w:after="100" w:afterAutospacing="1"/>
        <w:rPr>
          <w:rFonts w:ascii="Source Sans Pro" w:hAnsi="Source Sans Pro"/>
          <w:szCs w:val="24"/>
        </w:rPr>
      </w:pPr>
      <w:r w:rsidRPr="00DC089A">
        <w:rPr>
          <w:rFonts w:ascii="Source Sans Pro" w:hAnsi="Source Sans Pro"/>
          <w:szCs w:val="24"/>
        </w:rPr>
        <w:t xml:space="preserve">The statewide accountability system serves as the centerpiece of </w:t>
      </w:r>
      <w:proofErr w:type="gramStart"/>
      <w:r w:rsidRPr="00DC089A">
        <w:rPr>
          <w:rFonts w:ascii="Source Sans Pro" w:hAnsi="Source Sans Pro"/>
          <w:szCs w:val="24"/>
        </w:rPr>
        <w:t>the Every</w:t>
      </w:r>
      <w:proofErr w:type="gramEnd"/>
      <w:r w:rsidRPr="00DC089A">
        <w:rPr>
          <w:rFonts w:ascii="Source Sans Pro" w:hAnsi="Source Sans Pro"/>
          <w:szCs w:val="24"/>
        </w:rPr>
        <w:t xml:space="preserve"> Student Succeeds Act (ESSA) implementation. It is intended to both improve student academic achievement and school success and to close achievement gaps.</w:t>
      </w:r>
    </w:p>
    <w:p w14:paraId="328A41B1" w14:textId="77777777" w:rsidR="00F74DD0" w:rsidRPr="00DC089A" w:rsidRDefault="00F74DD0" w:rsidP="00F74DD0">
      <w:pPr>
        <w:spacing w:after="100" w:afterAutospacing="1"/>
        <w:rPr>
          <w:rFonts w:ascii="Source Sans Pro" w:hAnsi="Source Sans Pro"/>
          <w:szCs w:val="24"/>
        </w:rPr>
      </w:pPr>
      <w:r w:rsidRPr="00DC089A">
        <w:rPr>
          <w:rFonts w:ascii="Source Sans Pro" w:hAnsi="Source Sans Pro"/>
          <w:szCs w:val="24"/>
        </w:rPr>
        <w:t>The accountability system must include the following components:</w:t>
      </w:r>
    </w:p>
    <w:p w14:paraId="7D06F771" w14:textId="77777777" w:rsidR="00F74DD0" w:rsidRPr="006631E2" w:rsidRDefault="00F74DD0" w:rsidP="00DC089A">
      <w:pPr>
        <w:pStyle w:val="NormalWeb"/>
        <w:numPr>
          <w:ilvl w:val="0"/>
          <w:numId w:val="5"/>
        </w:numPr>
        <w:ind w:left="360" w:hanging="360"/>
        <w:rPr>
          <w:rFonts w:ascii="Source Sans Pro" w:hAnsi="Source Sans Pro"/>
          <w:b/>
          <w:color w:val="053C70"/>
        </w:rPr>
      </w:pPr>
      <w:r w:rsidRPr="006631E2">
        <w:rPr>
          <w:rFonts w:ascii="Source Sans Pro" w:hAnsi="Source Sans Pro"/>
          <w:b/>
          <w:color w:val="053C70"/>
        </w:rPr>
        <w:t xml:space="preserve">Subgroups of Students </w:t>
      </w:r>
    </w:p>
    <w:p w14:paraId="0F4FA995" w14:textId="77777777" w:rsidR="00F74DD0" w:rsidRPr="00DC089A" w:rsidRDefault="00F74DD0" w:rsidP="00F74DD0">
      <w:pPr>
        <w:pStyle w:val="NormalWeb"/>
        <w:rPr>
          <w:rFonts w:ascii="Source Sans Pro" w:hAnsi="Source Sans Pro"/>
        </w:rPr>
      </w:pPr>
      <w:r w:rsidRPr="00DC089A">
        <w:rPr>
          <w:rFonts w:ascii="Source Sans Pro" w:hAnsi="Source Sans Pro"/>
          <w:noProof/>
        </w:rPr>
        <w:drawing>
          <wp:anchor distT="0" distB="0" distL="114300" distR="114300" simplePos="0" relativeHeight="251661312" behindDoc="0" locked="0" layoutInCell="1" allowOverlap="1" wp14:anchorId="35A4BD73" wp14:editId="50B76C30">
            <wp:simplePos x="0" y="0"/>
            <wp:positionH relativeFrom="column">
              <wp:posOffset>3769508</wp:posOffset>
            </wp:positionH>
            <wp:positionV relativeFrom="paragraph">
              <wp:posOffset>32427</wp:posOffset>
            </wp:positionV>
            <wp:extent cx="1856232" cy="2322576"/>
            <wp:effectExtent l="19050" t="19050" r="10795" b="20955"/>
            <wp:wrapSquare wrapText="bothSides"/>
            <wp:docPr id="5" name="Picture 5" descr="Chart that reads: &#10;Disaggregation: Each indicator of the state accountability system must be separately reported by these student subgroups:&#10;Economically disadvantaged&#10;Racial and Ethnic groups&#10;English learners&#10;IDEA eligible&#10;Students are counted in every applicable sub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56232" cy="2322576"/>
                    </a:xfrm>
                    <a:prstGeom prst="rect">
                      <a:avLst/>
                    </a:prstGeom>
                    <a:ln w="19050">
                      <a:solidFill>
                        <a:schemeClr val="tx1"/>
                      </a:solidFill>
                    </a:ln>
                  </pic:spPr>
                </pic:pic>
              </a:graphicData>
            </a:graphic>
            <wp14:sizeRelH relativeFrom="page">
              <wp14:pctWidth>0</wp14:pctWidth>
            </wp14:sizeRelH>
            <wp14:sizeRelV relativeFrom="page">
              <wp14:pctHeight>0</wp14:pctHeight>
            </wp14:sizeRelV>
          </wp:anchor>
        </w:drawing>
      </w:r>
      <w:r w:rsidRPr="00DC089A">
        <w:rPr>
          <w:rFonts w:ascii="Source Sans Pro" w:hAnsi="Source Sans Pro"/>
        </w:rPr>
        <w:t xml:space="preserve">ESSA requires information on each of the accountability system to be broken down into the following identified groups of students: </w:t>
      </w:r>
    </w:p>
    <w:p w14:paraId="7E297298" w14:textId="77777777" w:rsidR="00F74DD0" w:rsidRPr="00DC089A" w:rsidRDefault="00F74DD0" w:rsidP="00F74DD0">
      <w:pPr>
        <w:pStyle w:val="NormalWeb"/>
        <w:numPr>
          <w:ilvl w:val="0"/>
          <w:numId w:val="4"/>
        </w:numPr>
        <w:spacing w:before="0" w:beforeAutospacing="0"/>
        <w:rPr>
          <w:rFonts w:ascii="Source Sans Pro" w:hAnsi="Source Sans Pro"/>
        </w:rPr>
      </w:pPr>
      <w:r w:rsidRPr="00DC089A">
        <w:rPr>
          <w:rFonts w:ascii="Source Sans Pro" w:hAnsi="Source Sans Pro"/>
        </w:rPr>
        <w:t>Economically disadvantaged students;</w:t>
      </w:r>
    </w:p>
    <w:p w14:paraId="171E3DA3" w14:textId="77777777" w:rsidR="00F74DD0" w:rsidRPr="00DC089A" w:rsidRDefault="00F74DD0" w:rsidP="00F74DD0">
      <w:pPr>
        <w:pStyle w:val="NormalWeb"/>
        <w:numPr>
          <w:ilvl w:val="0"/>
          <w:numId w:val="4"/>
        </w:numPr>
        <w:spacing w:before="0" w:beforeAutospacing="0"/>
        <w:rPr>
          <w:rFonts w:ascii="Source Sans Pro" w:hAnsi="Source Sans Pro"/>
        </w:rPr>
      </w:pPr>
      <w:r w:rsidRPr="00DC089A">
        <w:rPr>
          <w:rFonts w:ascii="Source Sans Pro" w:hAnsi="Source Sans Pro"/>
        </w:rPr>
        <w:t>Students from each major racial/ethnic group;</w:t>
      </w:r>
    </w:p>
    <w:p w14:paraId="7E2F58F9" w14:textId="77777777" w:rsidR="00F74DD0" w:rsidRPr="00DC089A" w:rsidRDefault="00F74DD0" w:rsidP="00F74DD0">
      <w:pPr>
        <w:pStyle w:val="NormalWeb"/>
        <w:numPr>
          <w:ilvl w:val="0"/>
          <w:numId w:val="4"/>
        </w:numPr>
        <w:spacing w:before="0" w:beforeAutospacing="0"/>
        <w:rPr>
          <w:rFonts w:ascii="Source Sans Pro" w:hAnsi="Source Sans Pro"/>
        </w:rPr>
      </w:pPr>
      <w:r w:rsidRPr="00DC089A">
        <w:rPr>
          <w:rFonts w:ascii="Source Sans Pro" w:hAnsi="Source Sans Pro"/>
        </w:rPr>
        <w:t xml:space="preserve">Children with disabilities as defined under IDEA; </w:t>
      </w:r>
    </w:p>
    <w:p w14:paraId="79754296" w14:textId="77777777" w:rsidR="00F74DD0" w:rsidRPr="00DC089A" w:rsidRDefault="00F74DD0" w:rsidP="00F74DD0">
      <w:pPr>
        <w:pStyle w:val="NormalWeb"/>
        <w:numPr>
          <w:ilvl w:val="0"/>
          <w:numId w:val="4"/>
        </w:numPr>
        <w:spacing w:before="0" w:beforeAutospacing="0"/>
        <w:rPr>
          <w:rFonts w:ascii="Source Sans Pro" w:hAnsi="Source Sans Pro"/>
        </w:rPr>
      </w:pPr>
      <w:r w:rsidRPr="00DC089A">
        <w:rPr>
          <w:rFonts w:ascii="Source Sans Pro" w:hAnsi="Source Sans Pro"/>
        </w:rPr>
        <w:t>English learners.</w:t>
      </w:r>
    </w:p>
    <w:p w14:paraId="228877B2" w14:textId="77777777" w:rsidR="00F74DD0" w:rsidRPr="00DC089A" w:rsidRDefault="00F74DD0" w:rsidP="00F74DD0">
      <w:pPr>
        <w:pStyle w:val="NormalWeb"/>
        <w:rPr>
          <w:rFonts w:ascii="Source Sans Pro" w:hAnsi="Source Sans Pro"/>
        </w:rPr>
      </w:pPr>
      <w:r w:rsidRPr="00DC089A">
        <w:rPr>
          <w:rFonts w:ascii="Source Sans Pro" w:hAnsi="Source Sans Pro"/>
        </w:rPr>
        <w:t xml:space="preserve">This breakdown (or disaggregation) brings focus to the performance and expectations of historically low-performing groups of students visible to the public </w:t>
      </w:r>
      <w:proofErr w:type="gramStart"/>
      <w:r w:rsidRPr="00DC089A">
        <w:rPr>
          <w:rFonts w:ascii="Source Sans Pro" w:hAnsi="Source Sans Pro"/>
        </w:rPr>
        <w:t>in order to</w:t>
      </w:r>
      <w:proofErr w:type="gramEnd"/>
      <w:r w:rsidRPr="00DC089A">
        <w:rPr>
          <w:rFonts w:ascii="Source Sans Pro" w:hAnsi="Source Sans Pro"/>
        </w:rPr>
        <w:t xml:space="preserve"> identify any performance gaps.</w:t>
      </w:r>
    </w:p>
    <w:p w14:paraId="68649D3C" w14:textId="1EACA8FC" w:rsidR="00DC089A" w:rsidRDefault="00F74DD0" w:rsidP="00F74DD0">
      <w:pPr>
        <w:pStyle w:val="NormalWeb"/>
        <w:rPr>
          <w:rFonts w:ascii="Source Sans Pro" w:hAnsi="Source Sans Pro"/>
        </w:rPr>
      </w:pPr>
      <w:r w:rsidRPr="00DC089A">
        <w:rPr>
          <w:rFonts w:ascii="Source Sans Pro" w:hAnsi="Source Sans Pro"/>
        </w:rPr>
        <w:t xml:space="preserve">For example, the annual State Data Display produced by the U.S. Department of Education shows information on how students with disabilities are performing on state assessments compared to all students in the state. </w:t>
      </w:r>
      <w:r w:rsidR="00852C38">
        <w:rPr>
          <w:rFonts w:ascii="Source Sans Pro" w:hAnsi="Source Sans Pro"/>
        </w:rPr>
        <w:t xml:space="preserve">(See the data for </w:t>
      </w:r>
      <w:r w:rsidR="00852C38" w:rsidRPr="00852C38">
        <w:rPr>
          <w:rFonts w:ascii="Source Sans Pro" w:hAnsi="Source Sans Pro"/>
          <w:i/>
        </w:rPr>
        <w:t>your</w:t>
      </w:r>
      <w:r w:rsidR="00852C38">
        <w:rPr>
          <w:rFonts w:ascii="Source Sans Pro" w:hAnsi="Source Sans Pro"/>
        </w:rPr>
        <w:t xml:space="preserve"> state, beginning at: </w:t>
      </w:r>
      <w:hyperlink r:id="rId8" w:anchor="report/apr/publicView" w:history="1">
        <w:r w:rsidR="00852C38" w:rsidRPr="00D260CA">
          <w:rPr>
            <w:rStyle w:val="Hyperlink"/>
            <w:rFonts w:ascii="Source Sans Pro" w:hAnsi="Source Sans Pro"/>
          </w:rPr>
          <w:t>https://osep.grads360.org/#report/apr/publicView</w:t>
        </w:r>
      </w:hyperlink>
      <w:r w:rsidR="00852C38">
        <w:rPr>
          <w:rFonts w:ascii="Source Sans Pro" w:hAnsi="Source Sans Pro"/>
        </w:rPr>
        <w:t>)</w:t>
      </w:r>
    </w:p>
    <w:p w14:paraId="76F10220" w14:textId="77777777" w:rsidR="00DC089A" w:rsidRDefault="00DC089A">
      <w:pPr>
        <w:rPr>
          <w:rFonts w:ascii="Source Sans Pro" w:eastAsia="Times New Roman" w:hAnsi="Source Sans Pro"/>
          <w:szCs w:val="24"/>
        </w:rPr>
      </w:pPr>
      <w:r>
        <w:rPr>
          <w:rFonts w:ascii="Source Sans Pro" w:hAnsi="Source Sans Pro"/>
        </w:rPr>
        <w:br w:type="page"/>
      </w:r>
    </w:p>
    <w:p w14:paraId="16EB8515" w14:textId="77777777" w:rsidR="00F74DD0" w:rsidRPr="00DC089A" w:rsidRDefault="00F74DD0" w:rsidP="00DC089A">
      <w:pPr>
        <w:pStyle w:val="NormalWeb"/>
        <w:jc w:val="center"/>
        <w:rPr>
          <w:rFonts w:ascii="Source Sans Pro" w:hAnsi="Source Sans Pro"/>
          <w:i/>
        </w:rPr>
      </w:pPr>
      <w:r w:rsidRPr="00DC089A">
        <w:rPr>
          <w:rFonts w:ascii="Source Sans Pro" w:hAnsi="Source Sans Pro"/>
          <w:noProof/>
        </w:rPr>
        <w:lastRenderedPageBreak/>
        <w:drawing>
          <wp:inline distT="0" distB="0" distL="0" distR="0" wp14:anchorId="295A0FE1" wp14:editId="0BBA1625">
            <wp:extent cx="5056632" cy="3118104"/>
            <wp:effectExtent l="0" t="0" r="0" b="6350"/>
            <wp:docPr id="3" name="Picture 3" descr="Excerpt of State Data Display 2016: Table is titled &quot;Performance on Statewide Assessments&quot; and, for &quot;grade and subject assessed&quot;, reports the percentage of students with disabilities who were proficient in the state's general assessment and in the state's alternate assessment. The final column shows the percentage of ALL students in the general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56632" cy="3118104"/>
                    </a:xfrm>
                    <a:prstGeom prst="rect">
                      <a:avLst/>
                    </a:prstGeom>
                  </pic:spPr>
                </pic:pic>
              </a:graphicData>
            </a:graphic>
          </wp:inline>
        </w:drawing>
      </w:r>
    </w:p>
    <w:p w14:paraId="645D290E" w14:textId="77777777" w:rsidR="00F74DD0" w:rsidRPr="00DC089A" w:rsidRDefault="00F74DD0" w:rsidP="00DC089A">
      <w:pPr>
        <w:pStyle w:val="NormalWeb"/>
        <w:jc w:val="center"/>
        <w:rPr>
          <w:rFonts w:ascii="Source Sans Pro" w:hAnsi="Source Sans Pro"/>
          <w:i/>
        </w:rPr>
      </w:pPr>
      <w:r w:rsidRPr="00DC089A">
        <w:rPr>
          <w:rFonts w:ascii="Source Sans Pro" w:hAnsi="Source Sans Pro"/>
          <w:i/>
        </w:rPr>
        <w:t>Excerpt of State Data Display 2016</w:t>
      </w:r>
    </w:p>
    <w:p w14:paraId="64FCE14A" w14:textId="26B04991" w:rsidR="00F74DD0" w:rsidRPr="00DC089A" w:rsidRDefault="00F74DD0" w:rsidP="00F74DD0">
      <w:pPr>
        <w:pStyle w:val="NormalWeb"/>
        <w:rPr>
          <w:rFonts w:ascii="Source Sans Pro" w:hAnsi="Source Sans Pro"/>
        </w:rPr>
      </w:pPr>
      <w:r w:rsidRPr="00DC089A">
        <w:rPr>
          <w:rFonts w:ascii="Source Sans Pro" w:hAnsi="Source Sans Pro"/>
        </w:rPr>
        <w:t>For school accountability purposes, th</w:t>
      </w:r>
      <w:r w:rsidR="009D71D6">
        <w:rPr>
          <w:rFonts w:ascii="Source Sans Pro" w:hAnsi="Source Sans Pro"/>
        </w:rPr>
        <w:t>e</w:t>
      </w:r>
      <w:r w:rsidRPr="00DC089A">
        <w:rPr>
          <w:rFonts w:ascii="Source Sans Pro" w:hAnsi="Source Sans Pro"/>
        </w:rPr>
        <w:t>s</w:t>
      </w:r>
      <w:r w:rsidR="009D71D6">
        <w:rPr>
          <w:rFonts w:ascii="Source Sans Pro" w:hAnsi="Source Sans Pro"/>
        </w:rPr>
        <w:t>e</w:t>
      </w:r>
      <w:r w:rsidRPr="00DC089A">
        <w:rPr>
          <w:rFonts w:ascii="Source Sans Pro" w:hAnsi="Source Sans Pro"/>
        </w:rPr>
        <w:t xml:space="preserve"> subgroup data </w:t>
      </w:r>
      <w:r w:rsidR="009D71D6">
        <w:rPr>
          <w:rFonts w:ascii="Source Sans Pro" w:hAnsi="Source Sans Pro"/>
        </w:rPr>
        <w:t>are</w:t>
      </w:r>
      <w:r w:rsidRPr="00DC089A">
        <w:rPr>
          <w:rFonts w:ascii="Source Sans Pro" w:hAnsi="Source Sans Pro"/>
        </w:rPr>
        <w:t xml:space="preserve"> only used when the number of students in the subgroup meets or exceeds the “minimum” number of students set by the state. This number</w:t>
      </w:r>
      <w:r w:rsidR="0043237C">
        <w:rPr>
          <w:rFonts w:ascii="Source Sans Pro" w:hAnsi="Source Sans Pro"/>
        </w:rPr>
        <w:t>—</w:t>
      </w:r>
      <w:r w:rsidRPr="00DC089A">
        <w:rPr>
          <w:rFonts w:ascii="Source Sans Pro" w:hAnsi="Source Sans Pro"/>
        </w:rPr>
        <w:t>also called N-size</w:t>
      </w:r>
      <w:r w:rsidR="0043237C">
        <w:rPr>
          <w:rFonts w:ascii="Source Sans Pro" w:hAnsi="Source Sans Pro"/>
        </w:rPr>
        <w:t>—</w:t>
      </w:r>
      <w:r w:rsidRPr="00DC089A">
        <w:rPr>
          <w:rFonts w:ascii="Source Sans Pro" w:hAnsi="Source Sans Pro"/>
        </w:rPr>
        <w:t>varies by state.</w:t>
      </w:r>
    </w:p>
    <w:p w14:paraId="545BC09A" w14:textId="77777777" w:rsidR="00F74DD0" w:rsidRPr="006631E2" w:rsidRDefault="00F74DD0" w:rsidP="00DC089A">
      <w:pPr>
        <w:pStyle w:val="NormalWeb"/>
        <w:numPr>
          <w:ilvl w:val="0"/>
          <w:numId w:val="5"/>
        </w:numPr>
        <w:ind w:left="360" w:hanging="360"/>
        <w:rPr>
          <w:rFonts w:ascii="Source Sans Pro" w:hAnsi="Source Sans Pro"/>
          <w:b/>
          <w:color w:val="053C70"/>
        </w:rPr>
      </w:pPr>
      <w:r w:rsidRPr="006631E2">
        <w:rPr>
          <w:rFonts w:ascii="Source Sans Pro" w:hAnsi="Source Sans Pro"/>
          <w:b/>
          <w:color w:val="053C70"/>
        </w:rPr>
        <w:t>Indicators</w:t>
      </w:r>
    </w:p>
    <w:p w14:paraId="5EF8C34A" w14:textId="77777777" w:rsidR="00F74DD0" w:rsidRPr="00DC089A" w:rsidRDefault="00F74DD0" w:rsidP="00F74DD0">
      <w:pPr>
        <w:pStyle w:val="NormalWeb"/>
        <w:rPr>
          <w:rFonts w:ascii="Source Sans Pro" w:hAnsi="Source Sans Pro"/>
        </w:rPr>
      </w:pPr>
      <w:proofErr w:type="gramStart"/>
      <w:r w:rsidRPr="00DC089A">
        <w:rPr>
          <w:rFonts w:ascii="Source Sans Pro" w:hAnsi="Source Sans Pro"/>
        </w:rPr>
        <w:t>The Every</w:t>
      </w:r>
      <w:proofErr w:type="gramEnd"/>
      <w:r w:rsidRPr="00DC089A">
        <w:rPr>
          <w:rFonts w:ascii="Source Sans Pro" w:hAnsi="Source Sans Pro"/>
        </w:rPr>
        <w:t xml:space="preserve"> Student Succeeds Act requires states’ accountability systems to include a number of indicators of student achievement, in order to hold schools accountable for student performance.  Below are the Academic Indicators required by ESSA:</w:t>
      </w:r>
    </w:p>
    <w:p w14:paraId="0868C494" w14:textId="77777777" w:rsidR="00F74DD0" w:rsidRPr="00DC089A" w:rsidRDefault="00F74DD0" w:rsidP="00F74DD0">
      <w:pPr>
        <w:pStyle w:val="NormalWeb"/>
        <w:rPr>
          <w:rFonts w:ascii="Source Sans Pro" w:hAnsi="Source Sans Pro"/>
        </w:rPr>
      </w:pPr>
      <w:r w:rsidRPr="00DC089A">
        <w:rPr>
          <w:rFonts w:ascii="Source Sans Pro" w:hAnsi="Source Sans Pro"/>
        </w:rPr>
        <w:t>For Elementary and Middle Schools</w:t>
      </w:r>
    </w:p>
    <w:p w14:paraId="364A1B50" w14:textId="77777777" w:rsidR="00F74DD0" w:rsidRPr="00DC089A" w:rsidRDefault="00F74DD0" w:rsidP="00F74DD0">
      <w:pPr>
        <w:pStyle w:val="ListParagraph"/>
        <w:numPr>
          <w:ilvl w:val="0"/>
          <w:numId w:val="3"/>
        </w:numPr>
        <w:spacing w:after="100" w:afterAutospacing="1"/>
        <w:contextualSpacing w:val="0"/>
        <w:rPr>
          <w:rFonts w:ascii="Source Sans Pro" w:hAnsi="Source Sans Pro"/>
        </w:rPr>
      </w:pPr>
      <w:r w:rsidRPr="00DC089A">
        <w:rPr>
          <w:rFonts w:ascii="Source Sans Pro" w:hAnsi="Source Sans Pro"/>
        </w:rPr>
        <w:t>Student scores on annual state assessments in reading/language arts and mathematics</w:t>
      </w:r>
    </w:p>
    <w:p w14:paraId="540692B8" w14:textId="77777777" w:rsidR="00F74DD0" w:rsidRPr="00DC089A" w:rsidRDefault="00F74DD0" w:rsidP="00F74DD0">
      <w:pPr>
        <w:pStyle w:val="ListParagraph"/>
        <w:numPr>
          <w:ilvl w:val="0"/>
          <w:numId w:val="3"/>
        </w:numPr>
        <w:spacing w:after="100" w:afterAutospacing="1"/>
        <w:contextualSpacing w:val="0"/>
        <w:rPr>
          <w:rFonts w:ascii="Source Sans Pro" w:hAnsi="Source Sans Pro"/>
        </w:rPr>
      </w:pPr>
      <w:r w:rsidRPr="00DC089A">
        <w:rPr>
          <w:rFonts w:ascii="Source Sans Pro" w:hAnsi="Source Sans Pro"/>
        </w:rPr>
        <w:t>Measure of student growth based on the annual assessments or other academic indicator(s)</w:t>
      </w:r>
    </w:p>
    <w:p w14:paraId="1B3781B3" w14:textId="77777777" w:rsidR="00DC089A" w:rsidRDefault="00DC089A">
      <w:pPr>
        <w:rPr>
          <w:rFonts w:ascii="Source Sans Pro" w:eastAsia="Times New Roman" w:hAnsi="Source Sans Pro"/>
          <w:szCs w:val="24"/>
        </w:rPr>
      </w:pPr>
      <w:r>
        <w:rPr>
          <w:rFonts w:ascii="Source Sans Pro" w:hAnsi="Source Sans Pro"/>
        </w:rPr>
        <w:br w:type="page"/>
      </w:r>
    </w:p>
    <w:p w14:paraId="3B77763C" w14:textId="77777777" w:rsidR="00F74DD0" w:rsidRPr="00DC089A" w:rsidRDefault="00F74DD0" w:rsidP="00F74DD0">
      <w:pPr>
        <w:pStyle w:val="NormalWeb"/>
        <w:rPr>
          <w:rFonts w:ascii="Source Sans Pro" w:hAnsi="Source Sans Pro"/>
        </w:rPr>
      </w:pPr>
      <w:r w:rsidRPr="00DC089A">
        <w:rPr>
          <w:rFonts w:ascii="Source Sans Pro" w:hAnsi="Source Sans Pro"/>
        </w:rPr>
        <w:lastRenderedPageBreak/>
        <w:t>For High Schools</w:t>
      </w:r>
    </w:p>
    <w:p w14:paraId="70FFBD33" w14:textId="77777777" w:rsidR="00F74DD0" w:rsidRPr="00DC089A" w:rsidRDefault="00F74DD0" w:rsidP="00F74DD0">
      <w:pPr>
        <w:pStyle w:val="ListParagraph"/>
        <w:numPr>
          <w:ilvl w:val="0"/>
          <w:numId w:val="3"/>
        </w:numPr>
        <w:spacing w:after="100" w:afterAutospacing="1"/>
        <w:contextualSpacing w:val="0"/>
        <w:rPr>
          <w:rFonts w:ascii="Source Sans Pro" w:hAnsi="Source Sans Pro"/>
        </w:rPr>
      </w:pPr>
      <w:r w:rsidRPr="00DC089A">
        <w:rPr>
          <w:rFonts w:ascii="Source Sans Pro" w:hAnsi="Source Sans Pro"/>
        </w:rPr>
        <w:t>Student scores on annual state assessments in reading/language arts and mathematics (or another nationally recognized high school academic assessment)</w:t>
      </w:r>
    </w:p>
    <w:p w14:paraId="1E0A52D4" w14:textId="77777777" w:rsidR="00F74DD0" w:rsidRPr="00DC089A" w:rsidRDefault="00F74DD0" w:rsidP="00F74DD0">
      <w:pPr>
        <w:pStyle w:val="ListParagraph"/>
        <w:numPr>
          <w:ilvl w:val="0"/>
          <w:numId w:val="3"/>
        </w:numPr>
        <w:spacing w:after="100" w:afterAutospacing="1"/>
        <w:contextualSpacing w:val="0"/>
        <w:rPr>
          <w:rFonts w:ascii="Source Sans Pro" w:hAnsi="Source Sans Pro"/>
        </w:rPr>
      </w:pPr>
      <w:r w:rsidRPr="00DC089A">
        <w:rPr>
          <w:rFonts w:ascii="Source Sans Pro" w:hAnsi="Source Sans Pro"/>
        </w:rPr>
        <w:t>Graduation rate (the four-year adjusted cohort graduation rate and, if applicable, extended year adjusted cohort graduation rate)</w:t>
      </w:r>
    </w:p>
    <w:p w14:paraId="0D1847E4" w14:textId="77777777" w:rsidR="00F74DD0" w:rsidRPr="00DC089A" w:rsidRDefault="00F74DD0" w:rsidP="00F74DD0">
      <w:pPr>
        <w:pStyle w:val="ListParagraph"/>
        <w:numPr>
          <w:ilvl w:val="0"/>
          <w:numId w:val="3"/>
        </w:numPr>
        <w:spacing w:after="100" w:afterAutospacing="1"/>
        <w:contextualSpacing w:val="0"/>
        <w:rPr>
          <w:rFonts w:ascii="Source Sans Pro" w:hAnsi="Source Sans Pro"/>
        </w:rPr>
      </w:pPr>
      <w:r w:rsidRPr="00DC089A">
        <w:rPr>
          <w:rFonts w:ascii="Source Sans Pro" w:hAnsi="Source Sans Pro"/>
        </w:rPr>
        <w:t>Measure of student growth based on the annual assessments (optional)</w:t>
      </w:r>
    </w:p>
    <w:p w14:paraId="778AA421" w14:textId="77777777" w:rsidR="00F74DD0" w:rsidRPr="00DC089A" w:rsidRDefault="00F74DD0" w:rsidP="00F74DD0">
      <w:pPr>
        <w:pStyle w:val="NormalWeb"/>
        <w:rPr>
          <w:rFonts w:ascii="Source Sans Pro" w:hAnsi="Source Sans Pro"/>
        </w:rPr>
      </w:pPr>
      <w:r w:rsidRPr="00DC089A">
        <w:rPr>
          <w:rFonts w:ascii="Source Sans Pro" w:hAnsi="Source Sans Pro"/>
        </w:rPr>
        <w:t>For all Schools</w:t>
      </w:r>
    </w:p>
    <w:p w14:paraId="1CC78FEF" w14:textId="77777777" w:rsidR="00F74DD0" w:rsidRPr="00DC089A" w:rsidRDefault="00F74DD0" w:rsidP="00F74DD0">
      <w:pPr>
        <w:pStyle w:val="NormalWeb"/>
        <w:numPr>
          <w:ilvl w:val="0"/>
          <w:numId w:val="6"/>
        </w:numPr>
        <w:rPr>
          <w:rFonts w:ascii="Source Sans Pro" w:hAnsi="Source Sans Pro"/>
        </w:rPr>
      </w:pPr>
      <w:r w:rsidRPr="00DC089A">
        <w:rPr>
          <w:rFonts w:ascii="Source Sans Pro" w:hAnsi="Source Sans Pro"/>
        </w:rPr>
        <w:t xml:space="preserve">English language proficiency on the state’s annual assessment of English language proficiency </w:t>
      </w:r>
    </w:p>
    <w:p w14:paraId="2EE986BD" w14:textId="34949987" w:rsidR="00F74DD0" w:rsidRPr="00DC089A" w:rsidRDefault="00F74DD0" w:rsidP="00F74DD0">
      <w:pPr>
        <w:pStyle w:val="NormalWeb"/>
        <w:rPr>
          <w:rFonts w:ascii="Source Sans Pro" w:hAnsi="Source Sans Pro"/>
          <w:i/>
        </w:rPr>
      </w:pPr>
      <w:r w:rsidRPr="00DC089A">
        <w:rPr>
          <w:rFonts w:ascii="Source Sans Pro" w:hAnsi="Source Sans Pro"/>
          <w:i/>
        </w:rPr>
        <w:t>In addition to these Academic Indicators, states must also include one or more School Quality or Student Success indicators, also know</w:t>
      </w:r>
      <w:r w:rsidR="00392750">
        <w:rPr>
          <w:rFonts w:ascii="Source Sans Pro" w:hAnsi="Source Sans Pro"/>
          <w:i/>
        </w:rPr>
        <w:t>n</w:t>
      </w:r>
      <w:r w:rsidRPr="00DC089A">
        <w:rPr>
          <w:rFonts w:ascii="Source Sans Pro" w:hAnsi="Source Sans Pro"/>
          <w:i/>
        </w:rPr>
        <w:t xml:space="preserve"> as Non-Academic Indicators.  Some examples of Non-Academic Indicators might include: chronic absenteeism, postsecondary readiness, advanced coursework completion and school climate.</w:t>
      </w:r>
    </w:p>
    <w:p w14:paraId="4FE2BC01" w14:textId="77777777" w:rsidR="00F74DD0" w:rsidRPr="00DC089A" w:rsidRDefault="00F74DD0" w:rsidP="00F74DD0">
      <w:pPr>
        <w:rPr>
          <w:rFonts w:ascii="Source Sans Pro" w:hAnsi="Source Sans Pro"/>
          <w:szCs w:val="24"/>
        </w:rPr>
      </w:pPr>
    </w:p>
    <w:p w14:paraId="485346CF" w14:textId="77777777" w:rsidR="00F74DD0" w:rsidRPr="00DC089A" w:rsidRDefault="00F74DD0" w:rsidP="001A0AEC">
      <w:pPr>
        <w:jc w:val="center"/>
        <w:rPr>
          <w:rFonts w:ascii="Source Sans Pro" w:hAnsi="Source Sans Pro"/>
          <w:szCs w:val="24"/>
        </w:rPr>
      </w:pPr>
      <w:r w:rsidRPr="00DC089A">
        <w:rPr>
          <w:rFonts w:ascii="Source Sans Pro" w:hAnsi="Source Sans Pro"/>
          <w:noProof/>
          <w:szCs w:val="24"/>
        </w:rPr>
        <w:drawing>
          <wp:inline distT="0" distB="0" distL="0" distR="0" wp14:anchorId="07BEB193" wp14:editId="670EB558">
            <wp:extent cx="2368296" cy="2295144"/>
            <wp:effectExtent l="19050" t="19050" r="13335" b="10160"/>
            <wp:docPr id="9" name="Picture 9" descr="Chart titled &quot;State Accountability System: Required Indicators&quot;&#10;&#10;Two checkmarks reading:&#10;Each must have substantial weight&#10;Sum must have much greater weight than indicator of school quality or success&#10;&#10;Text in other box reads:&#10;&#10;Elementary and Middle Schools-&#10;Student scores on annual assessments&#10;Measure of student growth or other academic indicator&#10;&#10;High Schools-&#10;Student scores on annual assessments&#10;Graduation rates&#10;Measure of student growth (optional)&#10;&#10;English Learners-&#10;English language proficiency on annual assessments&#10;&#10;Final box reads:&#10;School Quality or Success-&#10;One or more&#10;Must be able to disaggregate by student sub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68296" cy="2295144"/>
                    </a:xfrm>
                    <a:prstGeom prst="rect">
                      <a:avLst/>
                    </a:prstGeom>
                    <a:ln w="19050">
                      <a:solidFill>
                        <a:srgbClr val="000000"/>
                      </a:solidFill>
                    </a:ln>
                  </pic:spPr>
                </pic:pic>
              </a:graphicData>
            </a:graphic>
          </wp:inline>
        </w:drawing>
      </w:r>
    </w:p>
    <w:p w14:paraId="3DD041E0" w14:textId="382CC8E7" w:rsidR="00F74DD0" w:rsidRPr="00DC089A" w:rsidRDefault="00F74DD0" w:rsidP="00F74DD0">
      <w:pPr>
        <w:rPr>
          <w:rFonts w:ascii="Source Sans Pro" w:hAnsi="Source Sans Pro"/>
          <w:szCs w:val="24"/>
        </w:rPr>
      </w:pPr>
      <w:r w:rsidRPr="00DC089A">
        <w:rPr>
          <w:rFonts w:ascii="Source Sans Pro" w:hAnsi="Source Sans Pro"/>
          <w:szCs w:val="24"/>
        </w:rPr>
        <w:t>Weighting</w:t>
      </w:r>
      <w:r w:rsidRPr="0043237C">
        <w:rPr>
          <w:rFonts w:ascii="Source Sans Pro" w:hAnsi="Source Sans Pro"/>
          <w:szCs w:val="24"/>
        </w:rPr>
        <w:t xml:space="preserve"> </w:t>
      </w:r>
      <w:r w:rsidR="0043237C" w:rsidRPr="0043237C">
        <w:rPr>
          <w:rFonts w:ascii="Source Sans Pro" w:hAnsi="Source Sans Pro"/>
          <w:szCs w:val="24"/>
        </w:rPr>
        <w:t>|</w:t>
      </w:r>
      <w:r w:rsidRPr="0043237C">
        <w:rPr>
          <w:rFonts w:ascii="Source Sans Pro" w:hAnsi="Source Sans Pro"/>
          <w:szCs w:val="24"/>
        </w:rPr>
        <w:t xml:space="preserve"> </w:t>
      </w:r>
      <w:r w:rsidRPr="00DC089A">
        <w:rPr>
          <w:rFonts w:ascii="Source Sans Pro" w:hAnsi="Source Sans Pro"/>
          <w:szCs w:val="24"/>
        </w:rPr>
        <w:t xml:space="preserve">States must identify the weight it will give each indicator when calculating school performance. ESSA requires that the weighting for academic indicators be much greater than the weight of the indicator(s) of school quality or student success. </w:t>
      </w:r>
    </w:p>
    <w:p w14:paraId="797BFD92" w14:textId="77777777" w:rsidR="00DC089A" w:rsidRDefault="00DC089A">
      <w:pPr>
        <w:rPr>
          <w:rFonts w:ascii="Source Sans Pro" w:hAnsi="Source Sans Pro"/>
          <w:szCs w:val="24"/>
        </w:rPr>
      </w:pPr>
      <w:r>
        <w:rPr>
          <w:rFonts w:ascii="Source Sans Pro" w:hAnsi="Source Sans Pro"/>
          <w:szCs w:val="24"/>
        </w:rPr>
        <w:br w:type="page"/>
      </w:r>
    </w:p>
    <w:p w14:paraId="24BBCA05" w14:textId="77777777" w:rsidR="00F74DD0" w:rsidRPr="006631E2" w:rsidRDefault="00900F93" w:rsidP="00DC089A">
      <w:pPr>
        <w:pStyle w:val="ListParagraph"/>
        <w:numPr>
          <w:ilvl w:val="0"/>
          <w:numId w:val="5"/>
        </w:numPr>
        <w:spacing w:after="100" w:afterAutospacing="1"/>
        <w:ind w:left="360" w:hanging="360"/>
        <w:rPr>
          <w:rFonts w:ascii="Source Sans Pro" w:hAnsi="Source Sans Pro"/>
          <w:b/>
          <w:color w:val="053C70"/>
        </w:rPr>
      </w:pPr>
      <w:hyperlink r:id="rId11" w:anchor="interim">
        <w:r w:rsidR="00F74DD0" w:rsidRPr="006631E2">
          <w:rPr>
            <w:rFonts w:ascii="Source Sans Pro" w:hAnsi="Source Sans Pro"/>
            <w:b/>
            <w:color w:val="053C70"/>
          </w:rPr>
          <w:t>Long-term Goals and Measurements of Interim Progress</w:t>
        </w:r>
      </w:hyperlink>
      <w:r w:rsidR="00F74DD0" w:rsidRPr="006631E2">
        <w:rPr>
          <w:rFonts w:ascii="Source Sans Pro" w:hAnsi="Source Sans Pro"/>
          <w:b/>
          <w:color w:val="053C70"/>
        </w:rPr>
        <w:t xml:space="preserve"> </w:t>
      </w:r>
    </w:p>
    <w:p w14:paraId="5341DE95" w14:textId="77777777" w:rsidR="00F74DD0" w:rsidRPr="00DC089A" w:rsidRDefault="00F74DD0" w:rsidP="00F74DD0">
      <w:pPr>
        <w:spacing w:after="280"/>
        <w:rPr>
          <w:rFonts w:ascii="Source Sans Pro" w:hAnsi="Source Sans Pro"/>
          <w:szCs w:val="24"/>
        </w:rPr>
      </w:pPr>
      <w:r w:rsidRPr="00DC089A">
        <w:rPr>
          <w:rFonts w:ascii="Source Sans Pro" w:hAnsi="Source Sans Pro"/>
          <w:szCs w:val="24"/>
        </w:rPr>
        <w:t xml:space="preserve">ESSA requires states to set long-term goals </w:t>
      </w:r>
      <w:proofErr w:type="gramStart"/>
      <w:r w:rsidRPr="00DC089A">
        <w:rPr>
          <w:rFonts w:ascii="Source Sans Pro" w:hAnsi="Source Sans Pro"/>
          <w:szCs w:val="24"/>
        </w:rPr>
        <w:t>and also</w:t>
      </w:r>
      <w:proofErr w:type="gramEnd"/>
      <w:r w:rsidRPr="00DC089A">
        <w:rPr>
          <w:rFonts w:ascii="Source Sans Pro" w:hAnsi="Source Sans Pro"/>
          <w:szCs w:val="24"/>
        </w:rPr>
        <w:t xml:space="preserve"> measurements of interim progress for each of the academic indicators (described above) for all students and for each student subgroup. </w:t>
      </w:r>
    </w:p>
    <w:p w14:paraId="2104DFE2" w14:textId="77777777" w:rsidR="00F74DD0" w:rsidRPr="00DC089A" w:rsidRDefault="00F74DD0" w:rsidP="00F74DD0">
      <w:pPr>
        <w:spacing w:after="280"/>
        <w:rPr>
          <w:rFonts w:ascii="Source Sans Pro" w:hAnsi="Source Sans Pro"/>
          <w:szCs w:val="24"/>
        </w:rPr>
      </w:pPr>
      <w:r w:rsidRPr="00DC089A">
        <w:rPr>
          <w:rFonts w:ascii="Source Sans Pro" w:hAnsi="Source Sans Pro"/>
          <w:szCs w:val="24"/>
        </w:rPr>
        <w:t xml:space="preserve">States determine the length of time to reach their goals. Many states have established a timeline of 12 years for goals to be reached -- the number of years a student spends in school. </w:t>
      </w:r>
    </w:p>
    <w:p w14:paraId="530DAE34" w14:textId="77777777" w:rsidR="00F74DD0" w:rsidRPr="00DC089A" w:rsidRDefault="00F74DD0" w:rsidP="00DC089A">
      <w:pPr>
        <w:spacing w:after="100" w:afterAutospacing="1"/>
        <w:jc w:val="center"/>
        <w:rPr>
          <w:rFonts w:ascii="Source Sans Pro" w:hAnsi="Source Sans Pro"/>
          <w:szCs w:val="24"/>
        </w:rPr>
      </w:pPr>
      <w:r w:rsidRPr="00DC089A">
        <w:rPr>
          <w:rFonts w:ascii="Source Sans Pro" w:hAnsi="Source Sans Pro"/>
          <w:noProof/>
          <w:szCs w:val="24"/>
        </w:rPr>
        <w:drawing>
          <wp:inline distT="0" distB="0" distL="0" distR="0" wp14:anchorId="0AEAD31F" wp14:editId="69E6FAA4">
            <wp:extent cx="4686300" cy="3724275"/>
            <wp:effectExtent l="0" t="0" r="0" b="9525"/>
            <wp:docPr id="2" name="Picture 2" descr="Table is a sample of a state’s long-term goals for proficiency rates in english/language arts (ELA) and mathematics.  Parent Centers can insert their state’s real data charts where indicated below th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86300" cy="3724275"/>
                    </a:xfrm>
                    <a:prstGeom prst="rect">
                      <a:avLst/>
                    </a:prstGeom>
                  </pic:spPr>
                </pic:pic>
              </a:graphicData>
            </a:graphic>
          </wp:inline>
        </w:drawing>
      </w:r>
    </w:p>
    <w:p w14:paraId="4EE0D735" w14:textId="2AAC575C" w:rsidR="00F74DD0" w:rsidRPr="00DC089A" w:rsidRDefault="00F74DD0" w:rsidP="00DC089A">
      <w:pPr>
        <w:spacing w:after="100" w:afterAutospacing="1"/>
        <w:jc w:val="center"/>
        <w:rPr>
          <w:rFonts w:ascii="Source Sans Pro" w:hAnsi="Source Sans Pro"/>
          <w:i/>
          <w:szCs w:val="24"/>
        </w:rPr>
      </w:pPr>
      <w:r w:rsidRPr="00DC089A">
        <w:rPr>
          <w:rFonts w:ascii="Source Sans Pro" w:hAnsi="Source Sans Pro"/>
          <w:i/>
          <w:szCs w:val="24"/>
          <w:highlight w:val="yellow"/>
        </w:rPr>
        <w:t xml:space="preserve">Sample of a state’s long-term goals for proficiency rates in </w:t>
      </w:r>
      <w:r w:rsidR="003237FD">
        <w:rPr>
          <w:rFonts w:ascii="Source Sans Pro" w:hAnsi="Source Sans Pro"/>
          <w:i/>
          <w:szCs w:val="24"/>
          <w:highlight w:val="yellow"/>
        </w:rPr>
        <w:t>E</w:t>
      </w:r>
      <w:r w:rsidRPr="00DC089A">
        <w:rPr>
          <w:rFonts w:ascii="Source Sans Pro" w:hAnsi="Source Sans Pro"/>
          <w:i/>
          <w:szCs w:val="24"/>
          <w:highlight w:val="yellow"/>
        </w:rPr>
        <w:t>nglish/language arts (ELA) and mathematics. Parent Centers can insert their state’s real data charts here.</w:t>
      </w:r>
    </w:p>
    <w:p w14:paraId="22ACEFB0" w14:textId="77777777" w:rsidR="00F74DD0" w:rsidRPr="006631E2" w:rsidRDefault="00F74DD0" w:rsidP="00DC089A">
      <w:pPr>
        <w:pStyle w:val="ListParagraph"/>
        <w:numPr>
          <w:ilvl w:val="0"/>
          <w:numId w:val="5"/>
        </w:numPr>
        <w:spacing w:after="100" w:afterAutospacing="1"/>
        <w:ind w:left="360" w:hanging="360"/>
        <w:rPr>
          <w:rFonts w:ascii="Source Sans Pro" w:hAnsi="Source Sans Pro"/>
          <w:color w:val="053C70"/>
        </w:rPr>
      </w:pPr>
      <w:r w:rsidRPr="006631E2">
        <w:rPr>
          <w:rFonts w:ascii="Source Sans Pro" w:hAnsi="Source Sans Pro"/>
          <w:color w:val="053C70"/>
        </w:rPr>
        <w:t xml:space="preserve"> </w:t>
      </w:r>
      <w:hyperlink r:id="rId13" w:anchor="achieve">
        <w:r w:rsidRPr="006631E2">
          <w:rPr>
            <w:rFonts w:ascii="Source Sans Pro" w:hAnsi="Source Sans Pro"/>
            <w:b/>
            <w:color w:val="053C70"/>
          </w:rPr>
          <w:t>Annual Measurement of Achievement</w:t>
        </w:r>
      </w:hyperlink>
      <w:r w:rsidRPr="006631E2">
        <w:rPr>
          <w:rFonts w:ascii="Source Sans Pro" w:hAnsi="Source Sans Pro"/>
          <w:b/>
          <w:color w:val="053C70"/>
        </w:rPr>
        <w:t xml:space="preserve"> (Test Participation) </w:t>
      </w:r>
    </w:p>
    <w:p w14:paraId="5F73E7D6" w14:textId="77777777" w:rsidR="00F74DD0" w:rsidRPr="00DC089A" w:rsidRDefault="00F74DD0" w:rsidP="00F74DD0">
      <w:pPr>
        <w:spacing w:after="100" w:afterAutospacing="1"/>
        <w:rPr>
          <w:rFonts w:ascii="Source Sans Pro" w:hAnsi="Source Sans Pro"/>
          <w:szCs w:val="24"/>
        </w:rPr>
      </w:pPr>
      <w:r w:rsidRPr="00DC089A">
        <w:rPr>
          <w:rFonts w:ascii="Source Sans Pro" w:hAnsi="Source Sans Pro"/>
          <w:szCs w:val="24"/>
        </w:rPr>
        <w:t xml:space="preserve">ESSA requires that 95 percent of all students and at least 95 percent of all student subgroups participate in the state assessments. This important provision makes sure that the test results reflect the </w:t>
      </w:r>
      <w:proofErr w:type="gramStart"/>
      <w:r w:rsidRPr="00DC089A">
        <w:rPr>
          <w:rFonts w:ascii="Source Sans Pro" w:hAnsi="Source Sans Pro"/>
          <w:szCs w:val="24"/>
        </w:rPr>
        <w:t>vast majority</w:t>
      </w:r>
      <w:proofErr w:type="gramEnd"/>
      <w:r w:rsidRPr="00DC089A">
        <w:rPr>
          <w:rFonts w:ascii="Source Sans Pro" w:hAnsi="Source Sans Pro"/>
          <w:szCs w:val="24"/>
        </w:rPr>
        <w:t xml:space="preserve"> of students and that they reflect the achievement and needs of all students and student subgroups. Without valid information on how students with disabilities are performing on state assessments, schools won’t be able to make sound </w:t>
      </w:r>
      <w:r w:rsidRPr="00DC089A">
        <w:rPr>
          <w:rFonts w:ascii="Source Sans Pro" w:hAnsi="Source Sans Pro"/>
          <w:szCs w:val="24"/>
        </w:rPr>
        <w:lastRenderedPageBreak/>
        <w:t>decisions about their instructional needs. Furthermore, parents won’t have the information they need to determine how the school is doing in serving these students.</w:t>
      </w:r>
    </w:p>
    <w:p w14:paraId="7C91DFB8" w14:textId="77777777" w:rsidR="00F74DD0" w:rsidRPr="006631E2" w:rsidRDefault="00F74DD0" w:rsidP="00DC089A">
      <w:pPr>
        <w:pStyle w:val="ListParagraph"/>
        <w:numPr>
          <w:ilvl w:val="0"/>
          <w:numId w:val="5"/>
        </w:numPr>
        <w:spacing w:after="100" w:afterAutospacing="1"/>
        <w:ind w:left="360" w:hanging="360"/>
        <w:rPr>
          <w:rFonts w:ascii="Source Sans Pro" w:hAnsi="Source Sans Pro"/>
          <w:b/>
          <w:color w:val="053C70"/>
        </w:rPr>
      </w:pPr>
      <w:r w:rsidRPr="006631E2">
        <w:rPr>
          <w:rFonts w:ascii="Source Sans Pro" w:hAnsi="Source Sans Pro"/>
          <w:b/>
          <w:color w:val="053C70"/>
        </w:rPr>
        <w:t>School Identification</w:t>
      </w:r>
    </w:p>
    <w:p w14:paraId="03409407" w14:textId="77777777" w:rsidR="00F74DD0" w:rsidRPr="00DC089A" w:rsidRDefault="00F74DD0" w:rsidP="00F74DD0">
      <w:pPr>
        <w:spacing w:after="100" w:afterAutospacing="1"/>
        <w:rPr>
          <w:rFonts w:ascii="Source Sans Pro" w:hAnsi="Source Sans Pro"/>
          <w:szCs w:val="24"/>
        </w:rPr>
      </w:pPr>
      <w:r w:rsidRPr="00DC089A">
        <w:rPr>
          <w:rFonts w:ascii="Source Sans Pro" w:hAnsi="Source Sans Pro"/>
          <w:szCs w:val="24"/>
        </w:rPr>
        <w:t>ESSA requires states to use their accountability system to identify schools in need of improvement in two categories:</w:t>
      </w:r>
    </w:p>
    <w:p w14:paraId="5F7B7F85" w14:textId="77777777" w:rsidR="00F74DD0" w:rsidRPr="00DC089A" w:rsidRDefault="00F74DD0" w:rsidP="00F74DD0">
      <w:pPr>
        <w:spacing w:after="100" w:afterAutospacing="1"/>
        <w:rPr>
          <w:rFonts w:ascii="Source Sans Pro" w:hAnsi="Source Sans Pro"/>
          <w:szCs w:val="24"/>
        </w:rPr>
      </w:pPr>
      <w:r w:rsidRPr="00DC089A">
        <w:rPr>
          <w:rFonts w:ascii="Source Sans Pro" w:hAnsi="Source Sans Pro"/>
          <w:b/>
          <w:szCs w:val="24"/>
        </w:rPr>
        <w:t>Comprehensive Support and Improvement Schools (CSI)</w:t>
      </w:r>
    </w:p>
    <w:p w14:paraId="1FD80D41" w14:textId="77777777" w:rsidR="00F74DD0" w:rsidRPr="00DC089A" w:rsidRDefault="00F74DD0" w:rsidP="00F74DD0">
      <w:pPr>
        <w:spacing w:after="100" w:afterAutospacing="1"/>
        <w:rPr>
          <w:rFonts w:ascii="Source Sans Pro" w:hAnsi="Source Sans Pro"/>
          <w:szCs w:val="24"/>
        </w:rPr>
      </w:pPr>
      <w:r w:rsidRPr="00DC089A">
        <w:rPr>
          <w:rFonts w:ascii="Source Sans Pro" w:hAnsi="Source Sans Pro"/>
          <w:szCs w:val="24"/>
        </w:rPr>
        <w:t>Schools identified for Comprehensive Support and Improvement consist of those that are:</w:t>
      </w:r>
    </w:p>
    <w:p w14:paraId="3E812B5D" w14:textId="77777777" w:rsidR="00F74DD0" w:rsidRPr="00DC089A" w:rsidRDefault="00F74DD0" w:rsidP="00F74DD0">
      <w:pPr>
        <w:pStyle w:val="ListParagraph"/>
        <w:numPr>
          <w:ilvl w:val="0"/>
          <w:numId w:val="8"/>
        </w:numPr>
        <w:spacing w:after="100" w:afterAutospacing="1"/>
        <w:rPr>
          <w:rFonts w:ascii="Source Sans Pro" w:hAnsi="Source Sans Pro"/>
        </w:rPr>
      </w:pPr>
      <w:r w:rsidRPr="00DC089A">
        <w:rPr>
          <w:rFonts w:ascii="Source Sans Pro" w:hAnsi="Source Sans Pro"/>
        </w:rPr>
        <w:t>the lowest-performing five percent of all schools receiving Title I funds;</w:t>
      </w:r>
    </w:p>
    <w:p w14:paraId="7C6963D3" w14:textId="77777777" w:rsidR="00F74DD0" w:rsidRPr="00DC089A" w:rsidRDefault="00F74DD0" w:rsidP="00F74DD0">
      <w:pPr>
        <w:pStyle w:val="ListParagraph"/>
        <w:numPr>
          <w:ilvl w:val="0"/>
          <w:numId w:val="8"/>
        </w:numPr>
        <w:spacing w:after="100" w:afterAutospacing="1"/>
        <w:rPr>
          <w:rFonts w:ascii="Source Sans Pro" w:hAnsi="Source Sans Pro"/>
        </w:rPr>
      </w:pPr>
      <w:r w:rsidRPr="00DC089A">
        <w:rPr>
          <w:rFonts w:ascii="Source Sans Pro" w:hAnsi="Source Sans Pro"/>
        </w:rPr>
        <w:t>public high schools failing to graduate one-third or more of their students; and</w:t>
      </w:r>
    </w:p>
    <w:p w14:paraId="72279C12" w14:textId="77777777" w:rsidR="00F74DD0" w:rsidRPr="00DC089A" w:rsidRDefault="00F74DD0" w:rsidP="00F74DD0">
      <w:pPr>
        <w:pStyle w:val="ListParagraph"/>
        <w:numPr>
          <w:ilvl w:val="0"/>
          <w:numId w:val="8"/>
        </w:numPr>
        <w:spacing w:after="100" w:afterAutospacing="1"/>
        <w:rPr>
          <w:rFonts w:ascii="Source Sans Pro" w:hAnsi="Source Sans Pro"/>
        </w:rPr>
      </w:pPr>
      <w:r w:rsidRPr="00DC089A">
        <w:rPr>
          <w:rFonts w:ascii="Source Sans Pro" w:hAnsi="Source Sans Pro"/>
        </w:rPr>
        <w:t xml:space="preserve">Title I schools that previously received targeted support and failed to improve. </w:t>
      </w:r>
    </w:p>
    <w:p w14:paraId="749B59A5" w14:textId="77777777" w:rsidR="00F74DD0" w:rsidRPr="00DC089A" w:rsidRDefault="00F74DD0" w:rsidP="00F74DD0">
      <w:pPr>
        <w:spacing w:after="100" w:afterAutospacing="1"/>
        <w:rPr>
          <w:rFonts w:ascii="Source Sans Pro" w:hAnsi="Source Sans Pro"/>
          <w:szCs w:val="24"/>
        </w:rPr>
      </w:pPr>
      <w:r w:rsidRPr="00DC089A">
        <w:rPr>
          <w:rFonts w:ascii="Source Sans Pro" w:hAnsi="Source Sans Pro"/>
          <w:szCs w:val="24"/>
        </w:rPr>
        <w:t>States must identify this group of schools at least once every three years.</w:t>
      </w:r>
    </w:p>
    <w:p w14:paraId="06CAF991" w14:textId="77777777" w:rsidR="00F74DD0" w:rsidRPr="00DC089A" w:rsidRDefault="00F74DD0" w:rsidP="00F74DD0">
      <w:pPr>
        <w:spacing w:after="100" w:afterAutospacing="1"/>
        <w:rPr>
          <w:rFonts w:ascii="Source Sans Pro" w:hAnsi="Source Sans Pro"/>
          <w:szCs w:val="24"/>
        </w:rPr>
      </w:pPr>
      <w:r w:rsidRPr="00DC089A">
        <w:rPr>
          <w:rFonts w:ascii="Source Sans Pro" w:hAnsi="Source Sans Pro"/>
          <w:b/>
          <w:szCs w:val="24"/>
        </w:rPr>
        <w:t xml:space="preserve">Targeted Support and Improvement Schools (TSI) </w:t>
      </w:r>
    </w:p>
    <w:p w14:paraId="33D4F56F" w14:textId="77777777" w:rsidR="00F74DD0" w:rsidRPr="00DC089A" w:rsidRDefault="00F74DD0" w:rsidP="00F74DD0">
      <w:pPr>
        <w:spacing w:after="100" w:afterAutospacing="1"/>
        <w:rPr>
          <w:rFonts w:ascii="Source Sans Pro" w:hAnsi="Source Sans Pro"/>
          <w:szCs w:val="24"/>
        </w:rPr>
      </w:pPr>
      <w:r w:rsidRPr="00DC089A">
        <w:rPr>
          <w:rFonts w:ascii="Source Sans Pro" w:hAnsi="Source Sans Pro"/>
          <w:szCs w:val="24"/>
        </w:rPr>
        <w:t>This group of schools consists of:</w:t>
      </w:r>
    </w:p>
    <w:p w14:paraId="0BD8814A" w14:textId="77777777" w:rsidR="00F74DD0" w:rsidRPr="00DC089A" w:rsidRDefault="00F74DD0" w:rsidP="00F74DD0">
      <w:pPr>
        <w:pStyle w:val="ListParagraph"/>
        <w:numPr>
          <w:ilvl w:val="1"/>
          <w:numId w:val="7"/>
        </w:numPr>
        <w:ind w:left="360"/>
        <w:contextualSpacing w:val="0"/>
        <w:rPr>
          <w:rFonts w:ascii="Source Sans Pro" w:hAnsi="Source Sans Pro"/>
        </w:rPr>
      </w:pPr>
      <w:r w:rsidRPr="00DC089A">
        <w:rPr>
          <w:rFonts w:ascii="Source Sans Pro" w:hAnsi="Source Sans Pro"/>
        </w:rPr>
        <w:t xml:space="preserve">Any school with one or more “consistently underperforming” subgroups of students. “Consistently underperforming” is defined by the state, based on all indicators in the statewide accountability system. These schools are identified annually. </w:t>
      </w:r>
    </w:p>
    <w:p w14:paraId="0BE49ED2" w14:textId="77777777" w:rsidR="00F74DD0" w:rsidRPr="00DC089A" w:rsidRDefault="00F74DD0" w:rsidP="00F74DD0">
      <w:pPr>
        <w:pStyle w:val="ListParagraph"/>
        <w:numPr>
          <w:ilvl w:val="1"/>
          <w:numId w:val="7"/>
        </w:numPr>
        <w:spacing w:after="100" w:afterAutospacing="1"/>
        <w:ind w:left="360"/>
        <w:contextualSpacing w:val="0"/>
        <w:rPr>
          <w:rFonts w:ascii="Source Sans Pro" w:hAnsi="Source Sans Pro"/>
        </w:rPr>
      </w:pPr>
      <w:r w:rsidRPr="00DC089A">
        <w:rPr>
          <w:rFonts w:ascii="Source Sans Pro" w:hAnsi="Source Sans Pro"/>
        </w:rPr>
        <w:t xml:space="preserve">Any school in which one or more subgroups of students is performing at or below the performance of </w:t>
      </w:r>
      <w:r w:rsidRPr="00DC089A">
        <w:rPr>
          <w:rFonts w:ascii="Source Sans Pro" w:hAnsi="Source Sans Pro"/>
          <w:b/>
        </w:rPr>
        <w:t>all students</w:t>
      </w:r>
      <w:r w:rsidRPr="00DC089A">
        <w:rPr>
          <w:rFonts w:ascii="Source Sans Pro" w:hAnsi="Source Sans Pro"/>
        </w:rPr>
        <w:t xml:space="preserve"> in the lowest performing schools. These schools are identified at least once every three years.  </w:t>
      </w:r>
    </w:p>
    <w:p w14:paraId="5CAD94D6" w14:textId="7EA63B91" w:rsidR="00F74DD0" w:rsidRPr="00DC089A" w:rsidRDefault="00F74DD0" w:rsidP="00F74DD0">
      <w:pPr>
        <w:spacing w:after="100" w:afterAutospacing="1"/>
        <w:rPr>
          <w:rFonts w:ascii="Source Sans Pro" w:hAnsi="Source Sans Pro"/>
          <w:szCs w:val="24"/>
        </w:rPr>
      </w:pPr>
      <w:r w:rsidRPr="00DC089A">
        <w:rPr>
          <w:rFonts w:ascii="Source Sans Pro" w:hAnsi="Source Sans Pro"/>
          <w:szCs w:val="24"/>
        </w:rPr>
        <w:t xml:space="preserve">As part of their Annual State Report Card, states must publish the number of schools identified in each of the categories, </w:t>
      </w:r>
      <w:proofErr w:type="gramStart"/>
      <w:r w:rsidRPr="00DC089A">
        <w:rPr>
          <w:rFonts w:ascii="Source Sans Pro" w:hAnsi="Source Sans Pro"/>
          <w:szCs w:val="24"/>
        </w:rPr>
        <w:t>and also</w:t>
      </w:r>
      <w:proofErr w:type="gramEnd"/>
      <w:r w:rsidRPr="00DC089A">
        <w:rPr>
          <w:rFonts w:ascii="Source Sans Pro" w:hAnsi="Source Sans Pro"/>
          <w:szCs w:val="24"/>
        </w:rPr>
        <w:t xml:space="preserve"> the names of all public schools identified. Local districts must publish the same information for schools within the district in thei</w:t>
      </w:r>
      <w:r w:rsidR="00603EA8">
        <w:rPr>
          <w:rFonts w:ascii="Source Sans Pro" w:hAnsi="Source Sans Pro"/>
          <w:szCs w:val="24"/>
        </w:rPr>
        <w:t xml:space="preserve">r Annual District Report Cards. </w:t>
      </w:r>
    </w:p>
    <w:p w14:paraId="0A33B894" w14:textId="77777777" w:rsidR="00F74DD0" w:rsidRPr="00CB54D6" w:rsidRDefault="00F74DD0" w:rsidP="00F74DD0">
      <w:pPr>
        <w:spacing w:after="100" w:afterAutospacing="1"/>
      </w:pPr>
    </w:p>
    <w:p w14:paraId="0A1A2F14" w14:textId="77777777" w:rsidR="00F74DD0" w:rsidRDefault="00F74DD0" w:rsidP="00F74DD0"/>
    <w:p w14:paraId="1820807C" w14:textId="5A2CF893" w:rsidR="00F74DD0" w:rsidRPr="00DC089A" w:rsidRDefault="00F74DD0" w:rsidP="00DC089A">
      <w:pPr>
        <w:pStyle w:val="Default"/>
        <w:ind w:left="-270" w:right="-450"/>
        <w:rPr>
          <w:rFonts w:asciiTheme="minorHAnsi" w:hAnsiTheme="minorHAnsi"/>
          <w:i/>
          <w:sz w:val="20"/>
          <w:szCs w:val="20"/>
        </w:rPr>
      </w:pPr>
      <w:r w:rsidRPr="00DC089A">
        <w:rPr>
          <w:rFonts w:asciiTheme="minorHAnsi" w:hAnsiTheme="minorHAnsi"/>
          <w:i/>
          <w:sz w:val="20"/>
          <w:szCs w:val="20"/>
        </w:rPr>
        <w:t>Produced in partnership between the Center for Parent Information and Resources (CPIR) and The Advocacy Institute under a cooperative agreement from the U.S. Department of Education Office of Special Education Programs. The Center for Parent Information and Resources is a project of the Statewide Parent Advocacy Network, Inc.</w:t>
      </w:r>
    </w:p>
    <w:sectPr w:rsidR="00F74DD0" w:rsidRPr="00DC089A" w:rsidSect="00DC089A">
      <w:headerReference w:type="default" r:id="rId14"/>
      <w:footerReference w:type="default" r:id="rId15"/>
      <w:type w:val="nextColumn"/>
      <w:pgSz w:w="12240" w:h="15840"/>
      <w:pgMar w:top="216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D4DF5" w14:textId="77777777" w:rsidR="00900F93" w:rsidRDefault="00900F93">
      <w:pPr>
        <w:spacing w:after="0" w:line="240" w:lineRule="auto"/>
      </w:pPr>
      <w:r>
        <w:separator/>
      </w:r>
    </w:p>
  </w:endnote>
  <w:endnote w:type="continuationSeparator" w:id="0">
    <w:p w14:paraId="5894F727" w14:textId="77777777" w:rsidR="00900F93" w:rsidRDefault="00900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atic SC">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ource Sans Pro">
    <w:panose1 w:val="020B0503030403020204"/>
    <w:charset w:val="00"/>
    <w:family w:val="swiss"/>
    <w:notTrueType/>
    <w:pitch w:val="variable"/>
    <w:sig w:usb0="20000007" w:usb1="00000001" w:usb2="00000000" w:usb3="00000000" w:csb0="00000193" w:csb1="00000000"/>
  </w:font>
  <w:font w:name="Gadugi">
    <w:panose1 w:val="020B0502040204020203"/>
    <w:charset w:val="00"/>
    <w:family w:val="swiss"/>
    <w:pitch w:val="variable"/>
    <w:sig w:usb0="80000003" w:usb1="02000000" w:usb2="00003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FF980" w14:textId="77777777" w:rsidR="0010097D" w:rsidRDefault="00F67BFD" w:rsidP="00F67BFD">
    <w:pPr>
      <w:pStyle w:val="Default"/>
      <w:ind w:right="-1166"/>
      <w:rPr>
        <w:rFonts w:ascii="Source Sans Pro" w:hAnsi="Source Sans Pro"/>
        <w:b/>
        <w:color w:val="663300"/>
        <w:sz w:val="32"/>
        <w:szCs w:val="60"/>
      </w:rPr>
    </w:pPr>
    <w:r w:rsidRPr="00501E62">
      <w:rPr>
        <w:rFonts w:ascii="Source Sans Pro" w:hAnsi="Source Sans Pro"/>
        <w:b/>
        <w:bCs/>
        <w:noProof/>
        <w:color w:val="663300"/>
        <w:sz w:val="28"/>
      </w:rPr>
      <mc:AlternateContent>
        <mc:Choice Requires="wps">
          <w:drawing>
            <wp:anchor distT="45720" distB="45720" distL="114300" distR="114300" simplePos="0" relativeHeight="251664384" behindDoc="1" locked="0" layoutInCell="1" allowOverlap="1" wp14:anchorId="319AE0A7" wp14:editId="1DA946CE">
              <wp:simplePos x="0" y="0"/>
              <wp:positionH relativeFrom="column">
                <wp:posOffset>-511810</wp:posOffset>
              </wp:positionH>
              <wp:positionV relativeFrom="page">
                <wp:posOffset>9330055</wp:posOffset>
              </wp:positionV>
              <wp:extent cx="6960235" cy="61404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614045"/>
                      </a:xfrm>
                      <a:prstGeom prst="rect">
                        <a:avLst/>
                      </a:prstGeom>
                      <a:noFill/>
                      <a:ln w="9525">
                        <a:noFill/>
                        <a:miter lim="800000"/>
                        <a:headEnd/>
                        <a:tailEnd/>
                      </a:ln>
                    </wps:spPr>
                    <wps:txbx>
                      <w:txbxContent>
                        <w:p w14:paraId="4EE68231" w14:textId="77777777" w:rsidR="00F67BFD" w:rsidRPr="00334B02" w:rsidRDefault="00F67BFD" w:rsidP="00F67BFD">
                          <w:pPr>
                            <w:spacing w:after="0" w:line="240" w:lineRule="auto"/>
                            <w:jc w:val="center"/>
                            <w:rPr>
                              <w:rFonts w:ascii="Source Sans Pro" w:hAnsi="Source Sans Pro" w:cs="Calibri Light"/>
                              <w:b/>
                              <w:color w:val="7030A0"/>
                              <w:szCs w:val="28"/>
                            </w:rPr>
                          </w:pPr>
                          <w:r w:rsidRPr="00334B02">
                            <w:rPr>
                              <w:rFonts w:ascii="Source Sans Pro" w:hAnsi="Source Sans Pro" w:cs="Calibri Light"/>
                              <w:b/>
                              <w:color w:val="7030A0"/>
                              <w:szCs w:val="28"/>
                            </w:rPr>
                            <w:t>Center for Parent Information and Resources</w:t>
                          </w:r>
                        </w:p>
                        <w:p w14:paraId="7C1D65B8" w14:textId="5ADF81D5" w:rsidR="00F67BFD" w:rsidRPr="00334B02" w:rsidRDefault="00F67BFD" w:rsidP="00F67BFD">
                          <w:pPr>
                            <w:spacing w:after="0" w:line="240" w:lineRule="auto"/>
                            <w:jc w:val="center"/>
                            <w:rPr>
                              <w:rFonts w:ascii="Gill Sans MT" w:hAnsi="Gill Sans MT"/>
                              <w:sz w:val="22"/>
                              <w:szCs w:val="32"/>
                            </w:rPr>
                          </w:pPr>
                          <w:proofErr w:type="gramStart"/>
                          <w:r w:rsidRPr="00334B02">
                            <w:rPr>
                              <w:rFonts w:ascii="Source Sans Pro" w:hAnsi="Source Sans Pro"/>
                              <w:bCs/>
                              <w:color w:val="663300"/>
                              <w:szCs w:val="24"/>
                            </w:rPr>
                            <w:t>SPAN  |</w:t>
                          </w:r>
                          <w:proofErr w:type="gramEnd"/>
                          <w:r w:rsidRPr="00334B02">
                            <w:rPr>
                              <w:rFonts w:ascii="Source Sans Pro" w:hAnsi="Source Sans Pro"/>
                              <w:bCs/>
                              <w:color w:val="663300"/>
                              <w:szCs w:val="24"/>
                            </w:rPr>
                            <w:t xml:space="preserve">  35 Halsey Street, </w:t>
                          </w:r>
                          <w:r w:rsidR="0043237C">
                            <w:rPr>
                              <w:rFonts w:ascii="Source Sans Pro" w:hAnsi="Source Sans Pro"/>
                              <w:bCs/>
                              <w:color w:val="663300"/>
                              <w:szCs w:val="24"/>
                            </w:rPr>
                            <w:t>4</w:t>
                          </w:r>
                          <w:r w:rsidR="0043237C" w:rsidRPr="0043237C">
                            <w:rPr>
                              <w:rFonts w:ascii="Source Sans Pro" w:hAnsi="Source Sans Pro"/>
                              <w:bCs/>
                              <w:color w:val="663300"/>
                              <w:szCs w:val="24"/>
                              <w:vertAlign w:val="superscript"/>
                            </w:rPr>
                            <w:t>th</w:t>
                          </w:r>
                          <w:r w:rsidR="0043237C">
                            <w:rPr>
                              <w:rFonts w:ascii="Source Sans Pro" w:hAnsi="Source Sans Pro"/>
                              <w:bCs/>
                              <w:color w:val="663300"/>
                              <w:szCs w:val="24"/>
                            </w:rPr>
                            <w:t xml:space="preserve"> Floor</w:t>
                          </w:r>
                          <w:r w:rsidRPr="00334B02">
                            <w:rPr>
                              <w:rFonts w:ascii="Source Sans Pro" w:hAnsi="Source Sans Pro"/>
                              <w:bCs/>
                              <w:color w:val="663300"/>
                              <w:szCs w:val="24"/>
                            </w:rPr>
                            <w:t>, Newark, NJ 07102-3047  |  parentcenterhub.org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9AE0A7" id="_x0000_t202" coordsize="21600,21600" o:spt="202" path="m,l,21600r21600,l21600,xe">
              <v:stroke joinstyle="miter"/>
              <v:path gradientshapeok="t" o:connecttype="rect"/>
            </v:shapetype>
            <v:shape id="_x0000_s1027" type="#_x0000_t202" style="position:absolute;margin-left:-40.3pt;margin-top:734.65pt;width:548.05pt;height:48.3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nfDgIAAPoDAAAOAAAAZHJzL2Uyb0RvYy54bWysU9tuGyEQfa/Uf0C817ve2k68Mo7SpKkq&#10;pRcp6QdglvWiAkMBe9f9+gys41jJW1UeEMMwZ+acGVZXg9FkL31QYBmdTkpKpBXQKLtl9Nfj3YdL&#10;SkLktuEarGT0IAO9Wr9/t+pdLSvoQDfSEwSxoe4do12Mri6KIDppeJiAkxadLXjDI5p+WzSe94hu&#10;dFGV5aLowTfOg5Ah4O3t6KTrjN+2UsQfbRtkJJpRrC3m3ed9k/ZiveL11nPXKXEsg/9DFYYri0lP&#10;ULc8crLz6g2UUcJDgDZOBJgC2lYJmTkgm2n5is1Dx53MXFCc4E4yhf8HK77vf3qiGkarC0osN9ij&#10;RzlE8gkGUiV5ehdqfPXg8F0c8BrbnKkGdw/idyAWbjput/Lae+g7yRssb5oii7PQESckkE3/DRpM&#10;w3cRMtDQepO0QzUIomObDqfWpFIEXi6Wi7L6OKdEoG8xnZWzeU7B6+do50P8IsGQdGDUY+szOt/f&#10;h5iq4fXzk5TMwp3SOrdfW9IzupxX8xxw5jEq4nRqZRi9LNMa5yWR/GybHBy50uMZE2h7ZJ2IjpTj&#10;sBmyvlmSpMgGmgPK4GEcRvw8eOjA/6Wkx0FkNPzZcS8p0V8tSrmczmZpcrMxm19UaPhzz+bcw61A&#10;KEYjJePxJuZpHylfo+Stymq8VHIsGQcsi3T8DGmCz+386uXLrp8AAAD//wMAUEsDBBQABgAIAAAA&#10;IQCfPcGQ4AAAAA4BAAAPAAAAZHJzL2Rvd25yZXYueG1sTI/BTsMwDIbvSLxDZCRuWzJYo600nRCI&#10;K4gBk3bLGq+taJyqydby9ngnuNn6P/3+XGwm34kzDrENZGAxVyCQquBaqg18frzMViBisuRsFwgN&#10;/GCETXl9VdjchZHe8bxNteASirk10KTU51LGqkFv4zz0SJwdw+Bt4nWopRvsyOW+k3dKaeltS3yh&#10;sT0+NVh9b0/ewNfrcb9bqrf62Wf9GCYlya+lMbc30+MDiIRT+oPhos/qULLTIZzIRdEZmK2UZpSD&#10;pV7fg7ggapFlIA48ZVorkGUh/79R/gIAAP//AwBQSwECLQAUAAYACAAAACEAtoM4kv4AAADhAQAA&#10;EwAAAAAAAAAAAAAAAAAAAAAAW0NvbnRlbnRfVHlwZXNdLnhtbFBLAQItABQABgAIAAAAIQA4/SH/&#10;1gAAAJQBAAALAAAAAAAAAAAAAAAAAC8BAABfcmVscy8ucmVsc1BLAQItABQABgAIAAAAIQCUDJnf&#10;DgIAAPoDAAAOAAAAAAAAAAAAAAAAAC4CAABkcnMvZTJvRG9jLnhtbFBLAQItABQABgAIAAAAIQCf&#10;PcGQ4AAAAA4BAAAPAAAAAAAAAAAAAAAAAGgEAABkcnMvZG93bnJldi54bWxQSwUGAAAAAAQABADz&#10;AAAAdQUAAAAA&#10;" filled="f" stroked="f">
              <v:textbox>
                <w:txbxContent>
                  <w:p w14:paraId="4EE68231" w14:textId="77777777" w:rsidR="00F67BFD" w:rsidRPr="00334B02" w:rsidRDefault="00F67BFD" w:rsidP="00F67BFD">
                    <w:pPr>
                      <w:spacing w:after="0" w:line="240" w:lineRule="auto"/>
                      <w:jc w:val="center"/>
                      <w:rPr>
                        <w:rFonts w:ascii="Source Sans Pro" w:hAnsi="Source Sans Pro" w:cs="Calibri Light"/>
                        <w:b/>
                        <w:color w:val="7030A0"/>
                        <w:szCs w:val="28"/>
                      </w:rPr>
                    </w:pPr>
                    <w:r w:rsidRPr="00334B02">
                      <w:rPr>
                        <w:rFonts w:ascii="Source Sans Pro" w:hAnsi="Source Sans Pro" w:cs="Calibri Light"/>
                        <w:b/>
                        <w:color w:val="7030A0"/>
                        <w:szCs w:val="28"/>
                      </w:rPr>
                      <w:t>Center for Parent Information and Resources</w:t>
                    </w:r>
                  </w:p>
                  <w:p w14:paraId="7C1D65B8" w14:textId="5ADF81D5" w:rsidR="00F67BFD" w:rsidRPr="00334B02" w:rsidRDefault="00F67BFD" w:rsidP="00F67BFD">
                    <w:pPr>
                      <w:spacing w:after="0" w:line="240" w:lineRule="auto"/>
                      <w:jc w:val="center"/>
                      <w:rPr>
                        <w:rFonts w:ascii="Gill Sans MT" w:hAnsi="Gill Sans MT"/>
                        <w:sz w:val="22"/>
                        <w:szCs w:val="32"/>
                      </w:rPr>
                    </w:pPr>
                    <w:proofErr w:type="gramStart"/>
                    <w:r w:rsidRPr="00334B02">
                      <w:rPr>
                        <w:rFonts w:ascii="Source Sans Pro" w:hAnsi="Source Sans Pro"/>
                        <w:bCs/>
                        <w:color w:val="663300"/>
                        <w:szCs w:val="24"/>
                      </w:rPr>
                      <w:t>SPAN  |</w:t>
                    </w:r>
                    <w:proofErr w:type="gramEnd"/>
                    <w:r w:rsidRPr="00334B02">
                      <w:rPr>
                        <w:rFonts w:ascii="Source Sans Pro" w:hAnsi="Source Sans Pro"/>
                        <w:bCs/>
                        <w:color w:val="663300"/>
                        <w:szCs w:val="24"/>
                      </w:rPr>
                      <w:t xml:space="preserve">  35 Halsey Street, </w:t>
                    </w:r>
                    <w:r w:rsidR="0043237C">
                      <w:rPr>
                        <w:rFonts w:ascii="Source Sans Pro" w:hAnsi="Source Sans Pro"/>
                        <w:bCs/>
                        <w:color w:val="663300"/>
                        <w:szCs w:val="24"/>
                      </w:rPr>
                      <w:t>4</w:t>
                    </w:r>
                    <w:r w:rsidR="0043237C" w:rsidRPr="0043237C">
                      <w:rPr>
                        <w:rFonts w:ascii="Source Sans Pro" w:hAnsi="Source Sans Pro"/>
                        <w:bCs/>
                        <w:color w:val="663300"/>
                        <w:szCs w:val="24"/>
                        <w:vertAlign w:val="superscript"/>
                      </w:rPr>
                      <w:t>th</w:t>
                    </w:r>
                    <w:r w:rsidR="0043237C">
                      <w:rPr>
                        <w:rFonts w:ascii="Source Sans Pro" w:hAnsi="Source Sans Pro"/>
                        <w:bCs/>
                        <w:color w:val="663300"/>
                        <w:szCs w:val="24"/>
                      </w:rPr>
                      <w:t xml:space="preserve"> Floor</w:t>
                    </w:r>
                    <w:r w:rsidRPr="00334B02">
                      <w:rPr>
                        <w:rFonts w:ascii="Source Sans Pro" w:hAnsi="Source Sans Pro"/>
                        <w:bCs/>
                        <w:color w:val="663300"/>
                        <w:szCs w:val="24"/>
                      </w:rPr>
                      <w:t>, Newark, NJ 07102-3047  |  parentcenterhub.org</w:t>
                    </w:r>
                  </w:p>
                </w:txbxContent>
              </v:textbox>
              <w10:wrap anchory="page"/>
            </v:shape>
          </w:pict>
        </mc:Fallback>
      </mc:AlternateContent>
    </w:r>
    <w:r w:rsidR="00A97AA6">
      <w:rPr>
        <w:rFonts w:ascii="Bookman Old Style" w:hAnsi="Bookman Old Style"/>
        <w:b/>
        <w:bCs/>
        <w:noProof/>
        <w:color w:val="663300"/>
        <w:sz w:val="72"/>
        <w:szCs w:val="90"/>
      </w:rPr>
      <mc:AlternateContent>
        <mc:Choice Requires="wps">
          <w:drawing>
            <wp:anchor distT="0" distB="0" distL="114300" distR="114300" simplePos="0" relativeHeight="251662336" behindDoc="1" locked="0" layoutInCell="1" allowOverlap="1" wp14:anchorId="020E020A" wp14:editId="4E5C3D6B">
              <wp:simplePos x="0" y="0"/>
              <wp:positionH relativeFrom="column">
                <wp:posOffset>-943190</wp:posOffset>
              </wp:positionH>
              <wp:positionV relativeFrom="page">
                <wp:posOffset>9961880</wp:posOffset>
              </wp:positionV>
              <wp:extent cx="9677380" cy="22243"/>
              <wp:effectExtent l="0" t="76200" r="76835" b="111125"/>
              <wp:wrapNone/>
              <wp:docPr id="26" name="Straight Connector 26" descr="decorative element"/>
              <wp:cNvGraphicFramePr/>
              <a:graphic xmlns:a="http://schemas.openxmlformats.org/drawingml/2006/main">
                <a:graphicData uri="http://schemas.microsoft.com/office/word/2010/wordprocessingShape">
                  <wps:wsp>
                    <wps:cNvCnPr/>
                    <wps:spPr>
                      <a:xfrm flipV="1">
                        <a:off x="0" y="0"/>
                        <a:ext cx="9677380" cy="22243"/>
                      </a:xfrm>
                      <a:prstGeom prst="line">
                        <a:avLst/>
                      </a:prstGeom>
                      <a:ln w="165100">
                        <a:gradFill>
                          <a:gsLst>
                            <a:gs pos="0">
                              <a:schemeClr val="accent6">
                                <a:lumMod val="20000"/>
                                <a:lumOff val="80000"/>
                              </a:schemeClr>
                            </a:gs>
                            <a:gs pos="74000">
                              <a:schemeClr val="accent6">
                                <a:lumMod val="75000"/>
                              </a:schemeClr>
                            </a:gs>
                            <a:gs pos="83000">
                              <a:schemeClr val="accent6">
                                <a:lumMod val="75000"/>
                              </a:schemeClr>
                            </a:gs>
                            <a:gs pos="100000">
                              <a:schemeClr val="accent6">
                                <a:lumMod val="20000"/>
                                <a:lumOff val="80000"/>
                              </a:schemeClr>
                            </a:gs>
                          </a:gsLst>
                          <a:lin ang="16200000" scaled="0"/>
                        </a:gra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59DB6" id="Straight Connector 26" o:spid="_x0000_s1026" alt="decorative element"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74.25pt,784.4pt" to="687.7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XvUwIAAOMFAAAOAAAAZHJzL2Uyb0RvYy54bWy0VE1v2zAMvQ/YfxB8X+w4rZMFcXpI0V32&#10;UbTb7qpMxQL0BUmJk38/Skq8YhtSrNgugkSRj+LjE1c3ByXJHpwXRrfFdFIVBDQzndDbtvj29e7d&#10;oiA+UN1RaTS0xRF8cbN++2Y12CXUpjeyA0cQRPvlYNuiD8Euy9KzHhT1E2NB4yU3TtGAR7ctO0cH&#10;RFeyrKuqKQfjOusMA+/Repsvi3XC5xxY+MK5h0BkW+DbQlpdWp/iWq5XdLl11PaCnZ5BX/EKRYXG&#10;pCPULQ2U7Jz4DUoJ5ow3PEyYUaXhXDBINWA10+qXah57aiHVguR4O9Lk/x0s+7y/d0R0bVE3BdFU&#10;YY8eg6Ni2weyMVojg8aReNmBZ8hcB8w4GsQeCEhQoEMkcbB+iVgbfe9OJ2/vXWTkwJ0iXAr7HfWR&#10;OMKqySG14Di2AA6BMDS+b+bz2QI7xfCuruurWUQvM0yEs86HD2AUiZu2kEJHhuiS7j/6kF3PLtEs&#10;NRkwb3M9rarkh73u7oSU8XLrMSZviDXIanZJ4oONdGRPUTaUMSyySdFypz6ZLttRfoiJKTHLTqHM&#10;snlxNuOjR6RUwtY/zzW/iuHRMnpdzje/PuV7AXgx+0/ASOFfIr+KIixvbAy2l9A4SqZNwkJheEYl&#10;oF4T9dF3bCgepEamoxaz+tIuHCWkJukH4Ch1VNnsEu9ZRDJ6xzCOYhkDLzYsB578YyikATQG1y9n&#10;HSNSZqPDGKyENu5PAOEwPX0Rnv3PDOS6IwVPpjumf5mowUmS5ZinXhxVz88p/OdsXv8AAAD//wMA&#10;UEsDBBQABgAIAAAAIQAT5XVE3gAAAA8BAAAPAAAAZHJzL2Rvd25yZXYueG1sTE/LUsIwFN0z4z9k&#10;rjPuIKW10KlNGUVhD6JuQxPaanPTSQLUv/d2hcvzmPMoVoPp2EU731oUMJ9FwDRWVrVYCzi8b6YZ&#10;MB8kKtlZ1AJ+tYdVeTcpZK7sFXf6sg81oxD0uRTQhNDnnPuq0Ub6me01knayzshA0NVcOXmlcNPx&#10;OIoW3MgWqaGRvV43uvrZnw31uoFv47evV/uxeVkfvhP+aXYnIR7uh+cnYEEP4WaGcT5Nh5I2He0Z&#10;lWedgOn8MUvJS0q6yOjF6EmWKXHHkVvGCfCy4P9/lH8AAAD//wMAUEsBAi0AFAAGAAgAAAAhALaD&#10;OJL+AAAA4QEAABMAAAAAAAAAAAAAAAAAAAAAAFtDb250ZW50X1R5cGVzXS54bWxQSwECLQAUAAYA&#10;CAAAACEAOP0h/9YAAACUAQAACwAAAAAAAAAAAAAAAAAvAQAAX3JlbHMvLnJlbHNQSwECLQAUAAYA&#10;CAAAACEAkxKl71MCAADjBQAADgAAAAAAAAAAAAAAAAAuAgAAZHJzL2Uyb0RvYy54bWxQSwECLQAU&#10;AAYACAAAACEAE+V1RN4AAAAPAQAADwAAAAAAAAAAAAAAAACtBAAAZHJzL2Rvd25yZXYueG1sUEsF&#10;BgAAAAAEAAQA8wAAALgFAAAAAA==&#10;" strokeweight="13pt">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7C17E" w14:textId="77777777" w:rsidR="00900F93" w:rsidRDefault="00900F93">
      <w:pPr>
        <w:spacing w:after="0" w:line="240" w:lineRule="auto"/>
      </w:pPr>
      <w:r>
        <w:separator/>
      </w:r>
    </w:p>
  </w:footnote>
  <w:footnote w:type="continuationSeparator" w:id="0">
    <w:p w14:paraId="03E395A0" w14:textId="77777777" w:rsidR="00900F93" w:rsidRDefault="00900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426B4" w14:textId="5A9044B9" w:rsidR="0010097D" w:rsidRPr="00AE1105" w:rsidRDefault="00342330" w:rsidP="00AE1105">
    <w:pPr>
      <w:pStyle w:val="Default"/>
      <w:ind w:left="-720" w:right="-1166"/>
      <w:jc w:val="center"/>
      <w:rPr>
        <w:rFonts w:cs="Times New Roman"/>
        <w:color w:val="663300"/>
        <w:sz w:val="44"/>
        <w:szCs w:val="60"/>
      </w:rPr>
    </w:pPr>
    <w:r>
      <w:rPr>
        <w:rFonts w:ascii="Bookman Old Style" w:hAnsi="Bookman Old Style"/>
        <w:b/>
        <w:bCs/>
        <w:noProof/>
        <w:color w:val="663300"/>
        <w:sz w:val="72"/>
        <w:szCs w:val="90"/>
      </w:rPr>
      <w:drawing>
        <wp:anchor distT="0" distB="0" distL="114300" distR="114300" simplePos="0" relativeHeight="251658240" behindDoc="1" locked="0" layoutInCell="1" allowOverlap="1" wp14:anchorId="09A19C51" wp14:editId="3AF7C811">
          <wp:simplePos x="0" y="0"/>
          <wp:positionH relativeFrom="column">
            <wp:posOffset>-313055</wp:posOffset>
          </wp:positionH>
          <wp:positionV relativeFrom="paragraph">
            <wp:posOffset>-123825</wp:posOffset>
          </wp:positionV>
          <wp:extent cx="1186815" cy="579120"/>
          <wp:effectExtent l="0" t="0" r="0" b="0"/>
          <wp:wrapNone/>
          <wp:docPr id="23" name="Picture 23" descr="Center for Parent Information &amp;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ir-logo.png"/>
                  <pic:cNvPicPr/>
                </pic:nvPicPr>
                <pic:blipFill>
                  <a:blip r:embed="rId1">
                    <a:extLst>
                      <a:ext uri="{28A0092B-C50C-407E-A947-70E740481C1C}">
                        <a14:useLocalDpi xmlns:a14="http://schemas.microsoft.com/office/drawing/2010/main" val="0"/>
                      </a:ext>
                    </a:extLst>
                  </a:blip>
                  <a:stretch>
                    <a:fillRect/>
                  </a:stretch>
                </pic:blipFill>
                <pic:spPr>
                  <a:xfrm>
                    <a:off x="0" y="0"/>
                    <a:ext cx="1186815" cy="579120"/>
                  </a:xfrm>
                  <a:prstGeom prst="rect">
                    <a:avLst/>
                  </a:prstGeom>
                </pic:spPr>
              </pic:pic>
            </a:graphicData>
          </a:graphic>
          <wp14:sizeRelH relativeFrom="margin">
            <wp14:pctWidth>0</wp14:pctWidth>
          </wp14:sizeRelH>
          <wp14:sizeRelV relativeFrom="margin">
            <wp14:pctHeight>0</wp14:pctHeight>
          </wp14:sizeRelV>
        </wp:anchor>
      </w:drawing>
    </w:r>
    <w:r w:rsidR="00AE1105" w:rsidRPr="00AE1105">
      <w:rPr>
        <w:rFonts w:ascii="Bookman Old Style" w:hAnsi="Bookman Old Style"/>
        <w:bCs/>
        <w:noProof/>
        <w:color w:val="663300"/>
        <w:sz w:val="36"/>
        <w:szCs w:val="60"/>
      </w:rPr>
      <mc:AlternateContent>
        <mc:Choice Requires="wps">
          <w:drawing>
            <wp:anchor distT="45720" distB="0" distL="114300" distR="114300" simplePos="0" relativeHeight="251666432" behindDoc="1" locked="0" layoutInCell="1" allowOverlap="1" wp14:anchorId="6A795CEE" wp14:editId="000672E3">
              <wp:simplePos x="0" y="0"/>
              <wp:positionH relativeFrom="column">
                <wp:posOffset>1199408</wp:posOffset>
              </wp:positionH>
              <wp:positionV relativeFrom="page">
                <wp:posOffset>296883</wp:posOffset>
              </wp:positionV>
              <wp:extent cx="5120640" cy="767715"/>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767715"/>
                      </a:xfrm>
                      <a:prstGeom prst="rect">
                        <a:avLst/>
                      </a:prstGeom>
                      <a:solidFill>
                        <a:srgbClr val="FFFFFF"/>
                      </a:solidFill>
                      <a:ln w="9525">
                        <a:noFill/>
                        <a:miter lim="800000"/>
                        <a:headEnd/>
                        <a:tailEnd/>
                      </a:ln>
                    </wps:spPr>
                    <wps:txbx>
                      <w:txbxContent>
                        <w:p w14:paraId="666B9E62" w14:textId="5656E150" w:rsidR="00AE1105" w:rsidRPr="00FA6F34" w:rsidRDefault="00FA6F34">
                          <w:pPr>
                            <w:rPr>
                              <w:sz w:val="72"/>
                              <w:szCs w:val="72"/>
                            </w:rPr>
                          </w:pPr>
                          <w:r w:rsidRPr="00FA6F34">
                            <w:rPr>
                              <w:rFonts w:ascii="Amatic SC" w:hAnsi="Amatic SC"/>
                              <w:bCs/>
                              <w:color w:val="663300"/>
                              <w:sz w:val="72"/>
                              <w:szCs w:val="72"/>
                            </w:rPr>
                            <w:t>Statewide Accountability System (ESSA)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95CEE" id="_x0000_t202" coordsize="21600,21600" o:spt="202" path="m,l,21600r21600,l21600,xe">
              <v:stroke joinstyle="miter"/>
              <v:path gradientshapeok="t" o:connecttype="rect"/>
            </v:shapetype>
            <v:shape id="Text Box 2" o:spid="_x0000_s1026" type="#_x0000_t202" style="position:absolute;left:0;text-align:left;margin-left:94.45pt;margin-top:23.4pt;width:403.2pt;height:60.45pt;z-index:-251650048;visibility:visible;mso-wrap-style:square;mso-width-percent:0;mso-height-percent:0;mso-wrap-distance-left:9pt;mso-wrap-distance-top:3.6pt;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qhHQIAABsEAAAOAAAAZHJzL2Uyb0RvYy54bWysU9uO2yAQfa/Uf0C8N74ol10rzmqbbapK&#10;24u02w/AGMeowFAgsdOv74Cz2ah9q8oDYpiZw5kzw/pu1IochfMSTE2LWU6JMBxaafY1/f68e3dD&#10;iQ/MtEyBETU9CU/vNm/frAdbiRJ6UK1wBEGMrwZb0z4EW2WZ573QzM/ACoPODpxmAU23z1rHBkTX&#10;KivzfJkN4FrrgAvv8fZhctJNwu86wcPXrvMiEFVT5BbS7tLexD3brFm1d8z2kp9psH9goZk0+OgF&#10;6oEFRg5O/gWlJXfgoQszDjqDrpNcpBqwmiL/o5qnnlmRakFxvL3I5P8fLP9y/OaIbLF3lBimsUXP&#10;YgzkPYykjOoM1lcY9GQxLIx4HSNjpd4+Av/hiYFtz8xe3DsHQy9Yi+yKmJldpU44PoI0w2do8Rl2&#10;CJCAxs7pCIhiEETHLp0unYlUOF4uijJfztHF0bdarlbFIj3Bqpds63z4KECTeKipw84ndHZ89CGy&#10;YdVLSGIPSrY7qVQy3L7ZKkeODKdkl9YZ3V+HKUOGmt4uykVCNhDz0wBpGXCKldQ1vcnjiumsimp8&#10;MG06BybVdEYmypzliYpM2oSxGTEwatZAe0KhHEzTir8LDz24X5QMOKk19T8PzAlK1CeDYt8W86hM&#10;SMZ8sSrRcNee5trDDEeomgZKpuM2pO8Q+Rq4x6Z0Mun1yuTMFScwyXj+LXHEr+0U9fqnN78BAAD/&#10;/wMAUEsDBBQABgAIAAAAIQDo5pMN3QAAAAoBAAAPAAAAZHJzL2Rvd25yZXYueG1sTI/NTsMwEITv&#10;SLyDtUhcEHWANn/EqQAJxLWlD7BJtklEvI5it0nfnuUEx9GMZr4ptosd1Jkm3zs28LCKQBHXrum5&#10;NXD4er9PQfmA3ODgmAxcyMO2vL4qMG/czDs670OrpIR9jga6EMZca193ZNGv3Egs3tFNFoPIqdXN&#10;hLOU20E/RlGsLfYsCx2O9NZR/b0/WQPHz/luk83VRzgku3X8in1SuYsxtzfLyzOoQEv4C8MvvqBD&#10;KUyVO3Hj1SA6TTOJGljHckECWbZ5AlWJEycJ6LLQ/y+UPwAAAP//AwBQSwECLQAUAAYACAAAACEA&#10;toM4kv4AAADhAQAAEwAAAAAAAAAAAAAAAAAAAAAAW0NvbnRlbnRfVHlwZXNdLnhtbFBLAQItABQA&#10;BgAIAAAAIQA4/SH/1gAAAJQBAAALAAAAAAAAAAAAAAAAAC8BAABfcmVscy8ucmVsc1BLAQItABQA&#10;BgAIAAAAIQAgOxqhHQIAABsEAAAOAAAAAAAAAAAAAAAAAC4CAABkcnMvZTJvRG9jLnhtbFBLAQIt&#10;ABQABgAIAAAAIQDo5pMN3QAAAAoBAAAPAAAAAAAAAAAAAAAAAHcEAABkcnMvZG93bnJldi54bWxQ&#10;SwUGAAAAAAQABADzAAAAgQUAAAAA&#10;" stroked="f">
              <v:textbox>
                <w:txbxContent>
                  <w:p w14:paraId="666B9E62" w14:textId="5656E150" w:rsidR="00AE1105" w:rsidRPr="00FA6F34" w:rsidRDefault="00FA6F34">
                    <w:pPr>
                      <w:rPr>
                        <w:sz w:val="72"/>
                        <w:szCs w:val="72"/>
                      </w:rPr>
                    </w:pPr>
                    <w:r w:rsidRPr="00FA6F34">
                      <w:rPr>
                        <w:rFonts w:ascii="Amatic SC" w:hAnsi="Amatic SC"/>
                        <w:bCs/>
                        <w:color w:val="663300"/>
                        <w:sz w:val="72"/>
                        <w:szCs w:val="72"/>
                      </w:rPr>
                      <w:t>Statewide Accountability System (ESSA)</w:t>
                    </w:r>
                  </w:p>
                </w:txbxContent>
              </v:textbox>
              <w10:wrap anchory="page"/>
            </v:shape>
          </w:pict>
        </mc:Fallback>
      </mc:AlternateContent>
    </w:r>
    <w:r w:rsidR="0096316B">
      <w:rPr>
        <w:rFonts w:ascii="Bookman Old Style" w:hAnsi="Bookman Old Style"/>
        <w:b/>
        <w:bCs/>
        <w:noProof/>
        <w:color w:val="663300"/>
        <w:sz w:val="72"/>
        <w:szCs w:val="90"/>
      </w:rPr>
      <mc:AlternateContent>
        <mc:Choice Requires="wps">
          <w:drawing>
            <wp:anchor distT="0" distB="0" distL="114300" distR="114300" simplePos="0" relativeHeight="251659264" behindDoc="1" locked="0" layoutInCell="1" allowOverlap="1" wp14:anchorId="6525BF51" wp14:editId="0B4B45F0">
              <wp:simplePos x="0" y="0"/>
              <wp:positionH relativeFrom="column">
                <wp:posOffset>-339634</wp:posOffset>
              </wp:positionH>
              <wp:positionV relativeFrom="paragraph">
                <wp:posOffset>731520</wp:posOffset>
              </wp:positionV>
              <wp:extent cx="6666865" cy="8020594"/>
              <wp:effectExtent l="0" t="0" r="19685" b="19050"/>
              <wp:wrapNone/>
              <wp:docPr id="24" name="Rectangle 24" descr="decorative element"/>
              <wp:cNvGraphicFramePr/>
              <a:graphic xmlns:a="http://schemas.openxmlformats.org/drawingml/2006/main">
                <a:graphicData uri="http://schemas.microsoft.com/office/word/2010/wordprocessingShape">
                  <wps:wsp>
                    <wps:cNvSpPr/>
                    <wps:spPr>
                      <a:xfrm>
                        <a:off x="0" y="0"/>
                        <a:ext cx="6666865" cy="80205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EA55B" id="Rectangle 24" o:spid="_x0000_s1026" alt="decorative element" style="position:absolute;margin-left:-26.75pt;margin-top:57.6pt;width:524.95pt;height:63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UmjigIAAGIFAAAOAAAAZHJzL2Uyb0RvYy54bWysVE1v2zAMvQ/YfxB0X+0ESdcGdYqgRYcB&#10;RVv0Az2rMhUbkERNUuJkv36U7LhFW+wwLAdFEslH8vlRZ+c7o9kWfGjRVnxyVHIGVmLd2nXFnx6v&#10;vp1wFqKwtdBooeJ7CPx8+fXLWecWMMUGdQ2eEYgNi85VvInRLYoiyAaMCEfowJJRoTci0tGvi9qL&#10;jtCNLqZleVx06GvnUUIIdHvZG/ky4ysFMt4qFSAyXXGqLebV5/UlrcXyTCzWXrimlUMZ4h+qMKK1&#10;lHSEuhRRsI1vP0CZVnoMqOKRRFOgUq2E3AN1MynfdfPQCAe5FyInuJGm8P9g5c32zrO2rvh0xpkV&#10;hr7RPbEm7FoDS3c1BEmE1SDRi9hugYEGAzYm7joXFgTx4O78cAq0TUTslDfpn1pku8z3fuQbdpFJ&#10;ujym38nxnDNJtpNyWs5PZwm1eA13PsQfgIalTcU9lZZ5FtvrEHvXg0vKZvGq1Trdp8r6WvIu7jUk&#10;B23vQVG/lH2agbLS4EJ7thWkESEltTbpTY2oob+el/QbShsjcqEZMCErSjxiDwBJxR+x+7IH/xQK&#10;WahjcPm3wvrgMSJnRhvHYNNa9J8BaOpqyNz7H0jqqUksvWC9JzV47MckOHnVEu3XIsQ74WkuaIJo&#10;1uMtLUpjV3Ecdpw16H9/dp/8Sa5k5ayjOat4+LURHjjTPy0J+XQym6XBzIfZ/PuUDv6t5eWtxW7M&#10;BdJnmtCr4mTeJv+oD1vl0TzTk7BKWckkrKTcFZfRHw4XsZ9/elQkrFbZjYbRiXhtH5xM4InVJKvH&#10;3bPwbtBeJNne4GEmxeKdBHvfFGlxtYmo2qzPV14HvmmQs3CGRye9FG/P2ev1aVz+AQAA//8DAFBL&#10;AwQUAAYACAAAACEA0ZFGqeQAAAAMAQAADwAAAGRycy9kb3ducmV2LnhtbEyPwUrDQBCG74LvsIzg&#10;rd2kMbGN2ZRUEERBaCyit20yTYLZ2ZjdtvHtHU96nPk//vkmW0+mFyccXWdJQTgPQCBVtu6oUbB7&#10;fZgtQTivqda9JVTwjQ7W+eVFptPanmmLp9I3gkvIpVpB6/2QSumqFo12czsgcXawo9Gex7GR9ajP&#10;XG56uQiCRBrdEV9o9YD3LVaf5dEoeNvGB9xskp18+Si+irB8nJ6f3pW6vpqKOxAeJ/8Hw68+q0PO&#10;Tnt7pNqJXsEsjmJGOQjjBQgmVqvkBsSeN9HtMgKZZ/L/E/kPAAAA//8DAFBLAQItABQABgAIAAAA&#10;IQC2gziS/gAAAOEBAAATAAAAAAAAAAAAAAAAAAAAAABbQ29udGVudF9UeXBlc10ueG1sUEsBAi0A&#10;FAAGAAgAAAAhADj9If/WAAAAlAEAAAsAAAAAAAAAAAAAAAAALwEAAF9yZWxzLy5yZWxzUEsBAi0A&#10;FAAGAAgAAAAhAA/dSaOKAgAAYgUAAA4AAAAAAAAAAAAAAAAALgIAAGRycy9lMm9Eb2MueG1sUEsB&#10;Ai0AFAAGAAgAAAAhANGRRqnkAAAADAEAAA8AAAAAAAAAAAAAAAAA5AQAAGRycy9kb3ducmV2Lnht&#10;bFBLBQYAAAAABAAEAPMAAAD1BQAAAAA=&#10;" filled="f" strokecolor="#1f3763 [1604]" strokeweight="1pt"/>
          </w:pict>
        </mc:Fallback>
      </mc:AlternateContent>
    </w:r>
    <w:r w:rsidR="00A97AA6">
      <w:rPr>
        <w:rFonts w:ascii="Bookman Old Style" w:hAnsi="Bookman Old Style"/>
        <w:b/>
        <w:bCs/>
        <w:noProof/>
        <w:color w:val="663300"/>
        <w:sz w:val="72"/>
        <w:szCs w:val="90"/>
      </w:rPr>
      <mc:AlternateContent>
        <mc:Choice Requires="wps">
          <w:drawing>
            <wp:anchor distT="0" distB="0" distL="114300" distR="114300" simplePos="0" relativeHeight="251660288" behindDoc="1" locked="0" layoutInCell="1" allowOverlap="1" wp14:anchorId="7292A00B" wp14:editId="21F1A539">
              <wp:simplePos x="0" y="0"/>
              <wp:positionH relativeFrom="column">
                <wp:posOffset>-957160</wp:posOffset>
              </wp:positionH>
              <wp:positionV relativeFrom="page">
                <wp:posOffset>86995</wp:posOffset>
              </wp:positionV>
              <wp:extent cx="9706450" cy="22310"/>
              <wp:effectExtent l="19050" t="114300" r="66675" b="130175"/>
              <wp:wrapNone/>
              <wp:docPr id="25" name="Straight Connector 25" descr="decorative element"/>
              <wp:cNvGraphicFramePr/>
              <a:graphic xmlns:a="http://schemas.openxmlformats.org/drawingml/2006/main">
                <a:graphicData uri="http://schemas.microsoft.com/office/word/2010/wordprocessingShape">
                  <wps:wsp>
                    <wps:cNvCnPr/>
                    <wps:spPr>
                      <a:xfrm flipV="1">
                        <a:off x="0" y="0"/>
                        <a:ext cx="9706450" cy="22310"/>
                      </a:xfrm>
                      <a:prstGeom prst="line">
                        <a:avLst/>
                      </a:prstGeom>
                      <a:ln w="228600">
                        <a:gradFill>
                          <a:gsLst>
                            <a:gs pos="0">
                              <a:schemeClr val="accent6">
                                <a:lumMod val="20000"/>
                                <a:lumOff val="80000"/>
                              </a:schemeClr>
                            </a:gs>
                            <a:gs pos="74000">
                              <a:schemeClr val="accent6">
                                <a:lumMod val="75000"/>
                              </a:schemeClr>
                            </a:gs>
                            <a:gs pos="83000">
                              <a:schemeClr val="accent6">
                                <a:lumMod val="75000"/>
                              </a:schemeClr>
                            </a:gs>
                            <a:gs pos="100000">
                              <a:schemeClr val="accent6">
                                <a:lumMod val="20000"/>
                                <a:lumOff val="80000"/>
                              </a:schemeClr>
                            </a:gs>
                          </a:gsLst>
                          <a:lin ang="5400000" scaled="1"/>
                        </a:gra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7740A" id="Straight Connector 25" o:spid="_x0000_s1026" alt="decorative element"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75.35pt,6.85pt" to="688.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hjUQIAAOIFAAAOAAAAZHJzL2Uyb0RvYy54bWy0VEtv2zAMvg/YfxB0X+w4zWNBnB5SdJc9&#10;inbbXZUpW4BekNQ4+fej5MQrtiHFiu1iSBT5kfz4mZvrg1ZkDz5Ia2o6nZSUgOG2kaat6bevt+9W&#10;lITITMOUNVDTIwR6vX37ZtO7NVS2s6oBTxDEhHXvatrF6NZFEXgHmoWJdWDwUVivWcSrb4vGsx7R&#10;tSqqslwUvfWN85ZDCGi9GR7pNuMLATx+ESJAJKqmWFvMX5+/j+lbbDds3XrmOslPZbBXVKGZNJh0&#10;hLphkZEnL3+D0pJ7G6yIE251YYWQHHIP2M20/KWbh445yL0gOcGNNIV/B8s/7+88kU1Nqzklhmmc&#10;0UP0TLZdJDtrDDJoPUmPDQSOzDXArWdR7oGAAg0mJhJ7F9aItTN3/nQL7s4nRg7CayKUdN9RH5kj&#10;7Joc8giO4wjgEAlH4/tlubia46Q4vlXVbJpHVAwwCc75ED+A1SQdaqqkSQyxNdt/DBFTo+vZJZmV&#10;IX0CWi3KMvvhrJtbqVR6bAPGDAfiLLI6uGTxwU55smcoG8Y5NrnI0epJf7LNYEf5IWYWEJpRZoN5&#10;dTZjJSNSrqsNz3Mtr1J4soxel/Mt56d8LwCvZv8JeJo6+6uSX0URtjcOBsdLWFol88QWJieBMwUo&#10;12liPrmO88SLMmhLUhzEl0/xqCCxrMw9CFQ6imx2ifYBNnunMIFaGQMvNj8EnvxTKOT9MwZXL2cd&#10;I3Jma+IYrKWx/k8A8XBmQgz+ZwaGvhMFj7Y55t8yU4OL5ExcWnppUz2/5/Cfq3n7AwAA//8DAFBL&#10;AwQUAAYACAAAACEA/R6h3uQAAAALAQAADwAAAGRycy9kb3ducmV2LnhtbEyPzU7DMBCE70i8g7VI&#10;3FonLZAS4lSABEL8qKUFIW5uvCQR8TqK3Sbl6dme4LS7mtHsN9l8sI3YYedrRwricQQCqXCmplLB&#10;2/puNAPhgyajG0eoYI8e5vnxUaZT43p6xd0qlIJDyKdaQRVCm0rpiwqt9mPXIrH25TqrA59dKU2n&#10;ew63jZxE0YW0uib+UOkWbyssvldbq+B+cfa+jpfmYf/y+PnTfszK55unXqnTk+H6CkTAIfyZ4YDP&#10;6JAz08ZtyXjRKBjF51HCXlamPA+OaZJcgtjwlkxA5pn83yH/BQAA//8DAFBLAQItABQABgAIAAAA&#10;IQC2gziS/gAAAOEBAAATAAAAAAAAAAAAAAAAAAAAAABbQ29udGVudF9UeXBlc10ueG1sUEsBAi0A&#10;FAAGAAgAAAAhADj9If/WAAAAlAEAAAsAAAAAAAAAAAAAAAAALwEAAF9yZWxzLy5yZWxzUEsBAi0A&#10;FAAGAAgAAAAhALy1qGNRAgAA4gUAAA4AAAAAAAAAAAAAAAAALgIAAGRycy9lMm9Eb2MueG1sUEsB&#10;Ai0AFAAGAAgAAAAhAP0eod7kAAAACwEAAA8AAAAAAAAAAAAAAAAAqwQAAGRycy9kb3ducmV2Lnht&#10;bFBLBQYAAAAABAAEAPMAAAC8BQAAAAA=&#10;" strokeweight="18pt">
              <v:stroke joinstyle="miter"/>
              <w10:wrap anchory="page"/>
            </v:line>
          </w:pict>
        </mc:Fallback>
      </mc:AlternateContent>
    </w:r>
    <w:r w:rsidR="00AE1105">
      <w:rPr>
        <w:rFonts w:ascii="Bookman Old Style" w:hAnsi="Bookman Old Style"/>
        <w:bCs/>
        <w:color w:val="663300"/>
        <w:sz w:val="36"/>
        <w:szCs w:val="6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16119"/>
    <w:multiLevelType w:val="hybridMultilevel"/>
    <w:tmpl w:val="96F6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64326"/>
    <w:multiLevelType w:val="hybridMultilevel"/>
    <w:tmpl w:val="7642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D4629"/>
    <w:multiLevelType w:val="hybridMultilevel"/>
    <w:tmpl w:val="8608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6C53E6"/>
    <w:multiLevelType w:val="hybridMultilevel"/>
    <w:tmpl w:val="1BEC92BA"/>
    <w:lvl w:ilvl="0" w:tplc="77100C0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9405BF"/>
    <w:multiLevelType w:val="hybridMultilevel"/>
    <w:tmpl w:val="ACD62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AE0140"/>
    <w:multiLevelType w:val="hybridMultilevel"/>
    <w:tmpl w:val="47C4A8F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7827C8"/>
    <w:multiLevelType w:val="hybridMultilevel"/>
    <w:tmpl w:val="A3C4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274C2C"/>
    <w:multiLevelType w:val="multilevel"/>
    <w:tmpl w:val="FDECFD14"/>
    <w:lvl w:ilvl="0">
      <w:start w:val="1"/>
      <w:numFmt w:val="upperRoman"/>
      <w:lvlText w:val="%1."/>
      <w:lvlJc w:val="right"/>
      <w:pPr>
        <w:ind w:left="720" w:hanging="360"/>
      </w:pPr>
      <w:rPr>
        <w:rFonts w:hint="default"/>
      </w:rPr>
    </w:lvl>
    <w:lvl w:ilvl="1">
      <w:start w:val="1"/>
      <w:numFmt w:val="lowerLetter"/>
      <w:lvlText w:val="%2)"/>
      <w:lvlJc w:val="left"/>
      <w:pPr>
        <w:ind w:left="1080" w:hanging="360"/>
      </w:p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6"/>
  </w:num>
  <w:num w:numId="2">
    <w:abstractNumId w:val="1"/>
  </w:num>
  <w:num w:numId="3">
    <w:abstractNumId w:val="4"/>
  </w:num>
  <w:num w:numId="4">
    <w:abstractNumId w:val="0"/>
  </w:num>
  <w:num w:numId="5">
    <w:abstractNumId w:val="3"/>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7D"/>
    <w:rsid w:val="000666B5"/>
    <w:rsid w:val="000A0751"/>
    <w:rsid w:val="000D3ADC"/>
    <w:rsid w:val="0010097D"/>
    <w:rsid w:val="00150386"/>
    <w:rsid w:val="00154604"/>
    <w:rsid w:val="001A0AEC"/>
    <w:rsid w:val="001D7DD4"/>
    <w:rsid w:val="001F4986"/>
    <w:rsid w:val="002C37CF"/>
    <w:rsid w:val="002C62B4"/>
    <w:rsid w:val="003237FD"/>
    <w:rsid w:val="00334B02"/>
    <w:rsid w:val="00342330"/>
    <w:rsid w:val="00342DDE"/>
    <w:rsid w:val="0035092C"/>
    <w:rsid w:val="00392750"/>
    <w:rsid w:val="003A21C5"/>
    <w:rsid w:val="003A43AA"/>
    <w:rsid w:val="0043237C"/>
    <w:rsid w:val="0045379E"/>
    <w:rsid w:val="005064A4"/>
    <w:rsid w:val="00521192"/>
    <w:rsid w:val="00540D74"/>
    <w:rsid w:val="00593659"/>
    <w:rsid w:val="005C7BB2"/>
    <w:rsid w:val="00603EA8"/>
    <w:rsid w:val="006237E8"/>
    <w:rsid w:val="00636709"/>
    <w:rsid w:val="006631E2"/>
    <w:rsid w:val="00674BD1"/>
    <w:rsid w:val="006B2F5E"/>
    <w:rsid w:val="007D0BC6"/>
    <w:rsid w:val="00837954"/>
    <w:rsid w:val="00851D3C"/>
    <w:rsid w:val="008527E0"/>
    <w:rsid w:val="00852C38"/>
    <w:rsid w:val="00900F93"/>
    <w:rsid w:val="0096316B"/>
    <w:rsid w:val="009D4AF1"/>
    <w:rsid w:val="009D71D6"/>
    <w:rsid w:val="00A946BB"/>
    <w:rsid w:val="00A97AA6"/>
    <w:rsid w:val="00AE1105"/>
    <w:rsid w:val="00B03A27"/>
    <w:rsid w:val="00B327F9"/>
    <w:rsid w:val="00B370B1"/>
    <w:rsid w:val="00B5780A"/>
    <w:rsid w:val="00BD50AC"/>
    <w:rsid w:val="00BE3A40"/>
    <w:rsid w:val="00C45A68"/>
    <w:rsid w:val="00C76294"/>
    <w:rsid w:val="00D0316A"/>
    <w:rsid w:val="00D21B8D"/>
    <w:rsid w:val="00D35060"/>
    <w:rsid w:val="00DB53AA"/>
    <w:rsid w:val="00DC089A"/>
    <w:rsid w:val="00E05D84"/>
    <w:rsid w:val="00E0632F"/>
    <w:rsid w:val="00E17A3A"/>
    <w:rsid w:val="00E72254"/>
    <w:rsid w:val="00E93328"/>
    <w:rsid w:val="00F36D9E"/>
    <w:rsid w:val="00F67BFD"/>
    <w:rsid w:val="00F74DD0"/>
    <w:rsid w:val="00F947FE"/>
    <w:rsid w:val="00FA2EA8"/>
    <w:rsid w:val="00FA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E72A4"/>
  <w15:chartTrackingRefBased/>
  <w15:docId w15:val="{7B75F13F-B5C0-4CAE-8868-32130D26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matic SC" w:hAnsi="Amatic SC" w:cs="Amatic SC"/>
      <w:color w:val="000000"/>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F74DD0"/>
    <w:pPr>
      <w:spacing w:before="100" w:beforeAutospacing="1" w:after="100" w:afterAutospacing="1" w:line="240" w:lineRule="auto"/>
    </w:pPr>
    <w:rPr>
      <w:rFonts w:eastAsia="Times New Roman"/>
      <w:szCs w:val="24"/>
    </w:rPr>
  </w:style>
  <w:style w:type="paragraph" w:styleId="ListParagraph">
    <w:name w:val="List Paragraph"/>
    <w:basedOn w:val="Normal"/>
    <w:uiPriority w:val="34"/>
    <w:qFormat/>
    <w:rsid w:val="00F74DD0"/>
    <w:pPr>
      <w:widowControl w:val="0"/>
      <w:spacing w:after="0" w:line="240" w:lineRule="auto"/>
      <w:ind w:left="720"/>
      <w:contextualSpacing/>
    </w:pPr>
    <w:rPr>
      <w:rFonts w:ascii="Verdana" w:eastAsia="Verdana" w:hAnsi="Verdana" w:cs="Verdana"/>
      <w:color w:val="000000"/>
      <w:szCs w:val="24"/>
    </w:rPr>
  </w:style>
  <w:style w:type="character" w:styleId="UnresolvedMention">
    <w:name w:val="Unresolved Mention"/>
    <w:basedOn w:val="DefaultParagraphFont"/>
    <w:uiPriority w:val="99"/>
    <w:semiHidden/>
    <w:unhideWhenUsed/>
    <w:rsid w:val="006367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ep.grads360.org/" TargetMode="External"/><Relationship Id="rId13" Type="http://schemas.openxmlformats.org/officeDocument/2006/relationships/hyperlink" Target="http://www.parentcenterhub.org/repository/essa-guide-accou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entcenterhub.org/repository/essa-guide-accou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W</dc:creator>
  <cp:keywords/>
  <dc:description/>
  <cp:lastModifiedBy>Lisa Kupper</cp:lastModifiedBy>
  <cp:revision>2</cp:revision>
  <cp:lastPrinted>2017-01-10T01:31:00Z</cp:lastPrinted>
  <dcterms:created xsi:type="dcterms:W3CDTF">2018-04-06T15:10:00Z</dcterms:created>
  <dcterms:modified xsi:type="dcterms:W3CDTF">2018-04-06T15:10:00Z</dcterms:modified>
</cp:coreProperties>
</file>