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38E" w:rsidRPr="009A5068" w:rsidRDefault="00413519" w:rsidP="009A5068">
      <w:pPr>
        <w:pStyle w:val="Default"/>
        <w:spacing w:after="240"/>
        <w:ind w:left="-720" w:right="-720"/>
        <w:jc w:val="center"/>
        <w:rPr>
          <w:rFonts w:ascii="Source Sans Pro" w:hAnsi="Source Sans Pro"/>
          <w:color w:val="auto"/>
          <w:sz w:val="44"/>
          <w:szCs w:val="32"/>
        </w:rPr>
      </w:pPr>
      <w:r w:rsidRPr="00230D1F">
        <w:rPr>
          <w:rFonts w:ascii="Source Sans Pro" w:hAnsi="Source Sans Pro" w:cs="Gadugi"/>
          <w:b/>
          <w:smallCaps/>
          <w:color w:val="800000"/>
          <w:sz w:val="48"/>
          <w:szCs w:val="32"/>
        </w:rPr>
        <w:t>Fact Sheet</w:t>
      </w:r>
      <w:r>
        <w:rPr>
          <w:rFonts w:ascii="Source Sans Pro" w:hAnsi="Source Sans Pro" w:cs="Gadugi"/>
          <w:b/>
          <w:smallCaps/>
          <w:color w:val="C00000"/>
          <w:sz w:val="48"/>
          <w:szCs w:val="32"/>
        </w:rPr>
        <w:br/>
      </w:r>
      <w:r w:rsidR="005B35FB" w:rsidRPr="00A74273">
        <w:rPr>
          <w:rFonts w:asciiTheme="minorHAnsi" w:hAnsiTheme="minorHAnsi"/>
          <w:b/>
          <w:sz w:val="36"/>
          <w:szCs w:val="36"/>
        </w:rPr>
        <w:t xml:space="preserve">Annual </w:t>
      </w:r>
      <w:r w:rsidR="005B35FB">
        <w:rPr>
          <w:rFonts w:asciiTheme="minorHAnsi" w:hAnsiTheme="minorHAnsi"/>
          <w:b/>
          <w:sz w:val="36"/>
          <w:szCs w:val="36"/>
        </w:rPr>
        <w:t xml:space="preserve">State and Local </w:t>
      </w:r>
      <w:r w:rsidR="005B35FB" w:rsidRPr="00A74273">
        <w:rPr>
          <w:rFonts w:asciiTheme="minorHAnsi" w:hAnsiTheme="minorHAnsi"/>
          <w:b/>
          <w:sz w:val="36"/>
          <w:szCs w:val="36"/>
        </w:rPr>
        <w:t>Report Cards</w:t>
      </w:r>
    </w:p>
    <w:p w:rsidR="00BE024C" w:rsidRDefault="00BE024C" w:rsidP="009A5068">
      <w:pPr>
        <w:spacing w:after="240" w:line="240" w:lineRule="auto"/>
        <w:rPr>
          <w:rFonts w:asciiTheme="minorHAnsi" w:hAnsiTheme="minorHAnsi"/>
          <w:sz w:val="23"/>
          <w:szCs w:val="23"/>
        </w:rPr>
      </w:pPr>
      <w:proofErr w:type="gramStart"/>
      <w:r w:rsidRPr="00CF4005">
        <w:rPr>
          <w:rFonts w:asciiTheme="minorHAnsi" w:hAnsiTheme="minorHAnsi"/>
        </w:rPr>
        <w:t>The</w:t>
      </w:r>
      <w:r w:rsidR="00230D1F">
        <w:rPr>
          <w:rFonts w:asciiTheme="minorHAnsi" w:hAnsiTheme="minorHAnsi"/>
        </w:rPr>
        <w:t xml:space="preserve"> </w:t>
      </w:r>
      <w:r w:rsidRPr="001232DD">
        <w:rPr>
          <w:rFonts w:asciiTheme="minorHAnsi" w:hAnsiTheme="minorHAnsi"/>
          <w:b/>
        </w:rPr>
        <w:t>Every</w:t>
      </w:r>
      <w:proofErr w:type="gramEnd"/>
      <w:r w:rsidRPr="001232DD">
        <w:rPr>
          <w:rFonts w:asciiTheme="minorHAnsi" w:hAnsiTheme="minorHAnsi"/>
          <w:b/>
        </w:rPr>
        <w:t xml:space="preserve"> Student Succeeds Act (ESSA)</w:t>
      </w:r>
      <w:r w:rsidRPr="00CF4005">
        <w:rPr>
          <w:rFonts w:asciiTheme="minorHAnsi" w:hAnsiTheme="minorHAnsi"/>
        </w:rPr>
        <w:t xml:space="preserve"> continues and greatly expands upon the </w:t>
      </w:r>
      <w:r>
        <w:rPr>
          <w:rFonts w:asciiTheme="minorHAnsi" w:hAnsiTheme="minorHAnsi"/>
        </w:rPr>
        <w:t xml:space="preserve">previous </w:t>
      </w:r>
      <w:r w:rsidRPr="00CF4005">
        <w:rPr>
          <w:rFonts w:asciiTheme="minorHAnsi" w:hAnsiTheme="minorHAnsi"/>
        </w:rPr>
        <w:t xml:space="preserve">requirement </w:t>
      </w:r>
      <w:r w:rsidR="000B64F9">
        <w:rPr>
          <w:rFonts w:asciiTheme="minorHAnsi" w:hAnsiTheme="minorHAnsi"/>
        </w:rPr>
        <w:t>that</w:t>
      </w:r>
      <w:r w:rsidRPr="00CF4005">
        <w:rPr>
          <w:rFonts w:asciiTheme="minorHAnsi" w:hAnsiTheme="minorHAnsi"/>
        </w:rPr>
        <w:t xml:space="preserve"> both </w:t>
      </w:r>
      <w:r w:rsidRPr="00CF4005">
        <w:rPr>
          <w:rFonts w:asciiTheme="minorHAnsi" w:hAnsiTheme="minorHAnsi"/>
          <w:sz w:val="23"/>
          <w:szCs w:val="23"/>
        </w:rPr>
        <w:t>SEAs (states) and LEAs (local districts) receiv</w:t>
      </w:r>
      <w:r w:rsidR="000B64F9">
        <w:rPr>
          <w:rFonts w:asciiTheme="minorHAnsi" w:hAnsiTheme="minorHAnsi"/>
          <w:sz w:val="23"/>
          <w:szCs w:val="23"/>
        </w:rPr>
        <w:t>ing</w:t>
      </w:r>
      <w:r w:rsidRPr="00CF4005">
        <w:rPr>
          <w:rFonts w:asciiTheme="minorHAnsi" w:hAnsiTheme="minorHAnsi"/>
          <w:sz w:val="23"/>
          <w:szCs w:val="23"/>
        </w:rPr>
        <w:t xml:space="preserve"> Title I, Part A funds </w:t>
      </w:r>
      <w:r w:rsidR="00230D1F">
        <w:rPr>
          <w:rFonts w:asciiTheme="minorHAnsi" w:hAnsiTheme="minorHAnsi"/>
          <w:sz w:val="23"/>
          <w:szCs w:val="23"/>
        </w:rPr>
        <w:t>must</w:t>
      </w:r>
      <w:r w:rsidRPr="00CF4005">
        <w:rPr>
          <w:rFonts w:asciiTheme="minorHAnsi" w:hAnsiTheme="minorHAnsi"/>
          <w:sz w:val="23"/>
          <w:szCs w:val="23"/>
        </w:rPr>
        <w:t xml:space="preserve"> </w:t>
      </w:r>
      <w:r w:rsidRPr="00230D1F">
        <w:rPr>
          <w:rFonts w:asciiTheme="minorHAnsi" w:hAnsiTheme="minorHAnsi"/>
          <w:b/>
          <w:sz w:val="23"/>
          <w:szCs w:val="23"/>
        </w:rPr>
        <w:t>prepare and widely disseminate an annual report card</w:t>
      </w:r>
      <w:r w:rsidRPr="00CF4005">
        <w:rPr>
          <w:rFonts w:asciiTheme="minorHAnsi" w:hAnsiTheme="minorHAnsi"/>
          <w:sz w:val="23"/>
          <w:szCs w:val="23"/>
        </w:rPr>
        <w:t xml:space="preserve"> (ESEA section 1111(h)(1) and (h)(2)).</w:t>
      </w:r>
      <w:r>
        <w:rPr>
          <w:rFonts w:asciiTheme="minorHAnsi" w:hAnsiTheme="minorHAnsi"/>
          <w:sz w:val="23"/>
          <w:szCs w:val="23"/>
        </w:rPr>
        <w:t xml:space="preserve"> </w:t>
      </w:r>
    </w:p>
    <w:p w:rsidR="00BE024C" w:rsidRDefault="00BE024C" w:rsidP="009A5068">
      <w:pPr>
        <w:spacing w:after="240" w:line="240" w:lineRule="auto"/>
        <w:rPr>
          <w:rFonts w:asciiTheme="minorHAnsi" w:hAnsiTheme="minorHAnsi"/>
          <w:szCs w:val="24"/>
        </w:rPr>
      </w:pPr>
      <w:r>
        <w:rPr>
          <w:rFonts w:asciiTheme="minorHAnsi" w:hAnsiTheme="minorHAnsi"/>
          <w:szCs w:val="24"/>
        </w:rPr>
        <w:t>State and local</w:t>
      </w:r>
      <w:r w:rsidRPr="00AB7E08">
        <w:rPr>
          <w:rFonts w:asciiTheme="minorHAnsi" w:hAnsiTheme="minorHAnsi"/>
          <w:szCs w:val="24"/>
        </w:rPr>
        <w:t xml:space="preserve"> </w:t>
      </w:r>
      <w:r>
        <w:rPr>
          <w:rFonts w:asciiTheme="minorHAnsi" w:hAnsiTheme="minorHAnsi"/>
          <w:szCs w:val="24"/>
        </w:rPr>
        <w:t xml:space="preserve">report cards </w:t>
      </w:r>
      <w:r w:rsidRPr="00AB7E08">
        <w:rPr>
          <w:rFonts w:asciiTheme="minorHAnsi" w:hAnsiTheme="minorHAnsi"/>
          <w:szCs w:val="24"/>
        </w:rPr>
        <w:t>must include information about public schools related to a wide variety of student and school performance metrics, accountability, per-pupil expenditures, and educator qualifications, as well as any other information that the SEA or LEA deems relevant.</w:t>
      </w:r>
      <w:r>
        <w:rPr>
          <w:rFonts w:asciiTheme="minorHAnsi" w:hAnsiTheme="minorHAnsi"/>
          <w:szCs w:val="24"/>
        </w:rPr>
        <w:t xml:space="preserve"> </w:t>
      </w:r>
    </w:p>
    <w:p w:rsidR="00BE024C" w:rsidRDefault="00BE024C" w:rsidP="009A5068">
      <w:pPr>
        <w:autoSpaceDE w:val="0"/>
        <w:autoSpaceDN w:val="0"/>
        <w:adjustRightInd w:val="0"/>
        <w:spacing w:after="240" w:line="240" w:lineRule="auto"/>
        <w:rPr>
          <w:rFonts w:asciiTheme="minorHAnsi" w:hAnsiTheme="minorHAnsi"/>
          <w:szCs w:val="24"/>
        </w:rPr>
      </w:pPr>
      <w:r w:rsidRPr="007C22C4">
        <w:rPr>
          <w:rFonts w:asciiTheme="minorHAnsi" w:hAnsiTheme="minorHAnsi"/>
          <w:szCs w:val="24"/>
        </w:rPr>
        <w:t xml:space="preserve">State and </w:t>
      </w:r>
      <w:r>
        <w:rPr>
          <w:rFonts w:asciiTheme="minorHAnsi" w:hAnsiTheme="minorHAnsi"/>
          <w:szCs w:val="24"/>
        </w:rPr>
        <w:t>local</w:t>
      </w:r>
      <w:r w:rsidRPr="007C22C4">
        <w:rPr>
          <w:rFonts w:asciiTheme="minorHAnsi" w:hAnsiTheme="minorHAnsi"/>
          <w:szCs w:val="24"/>
        </w:rPr>
        <w:t xml:space="preserve"> report cards must be</w:t>
      </w:r>
      <w:r>
        <w:rPr>
          <w:rFonts w:asciiTheme="minorHAnsi" w:hAnsiTheme="minorHAnsi"/>
          <w:szCs w:val="24"/>
        </w:rPr>
        <w:t>:</w:t>
      </w:r>
    </w:p>
    <w:p w:rsidR="00BE024C" w:rsidRPr="00AB4EFA" w:rsidRDefault="00BE024C" w:rsidP="00021FCD">
      <w:pPr>
        <w:pStyle w:val="ListParagraph"/>
        <w:numPr>
          <w:ilvl w:val="0"/>
          <w:numId w:val="7"/>
        </w:numPr>
        <w:autoSpaceDE w:val="0"/>
        <w:autoSpaceDN w:val="0"/>
        <w:adjustRightInd w:val="0"/>
        <w:spacing w:after="120"/>
        <w:ind w:left="1138"/>
        <w:contextualSpacing w:val="0"/>
        <w:rPr>
          <w:rFonts w:ascii="AvenirLTStd-Book" w:eastAsiaTheme="minorHAnsi" w:hAnsi="AvenirLTStd-Book" w:cs="AvenirLTStd-Book"/>
          <w:sz w:val="21"/>
          <w:szCs w:val="21"/>
        </w:rPr>
      </w:pPr>
      <w:r w:rsidRPr="00AB4EFA">
        <w:rPr>
          <w:rFonts w:asciiTheme="minorHAnsi" w:eastAsiaTheme="minorHAnsi" w:hAnsiTheme="minorHAnsi" w:cs="AvenirLTStd-Book"/>
          <w:szCs w:val="24"/>
        </w:rPr>
        <w:t>developed along with parents</w:t>
      </w:r>
      <w:r w:rsidRPr="00AB4EFA">
        <w:rPr>
          <w:rFonts w:asciiTheme="minorHAnsi" w:hAnsiTheme="minorHAnsi"/>
          <w:szCs w:val="24"/>
        </w:rPr>
        <w:t xml:space="preserve"> </w:t>
      </w:r>
    </w:p>
    <w:p w:rsidR="00BE024C" w:rsidRPr="00AB4EFA" w:rsidRDefault="00BE024C" w:rsidP="00021FCD">
      <w:pPr>
        <w:pStyle w:val="ListParagraph"/>
        <w:numPr>
          <w:ilvl w:val="0"/>
          <w:numId w:val="7"/>
        </w:numPr>
        <w:autoSpaceDE w:val="0"/>
        <w:autoSpaceDN w:val="0"/>
        <w:adjustRightInd w:val="0"/>
        <w:spacing w:after="120"/>
        <w:ind w:left="1138"/>
        <w:contextualSpacing w:val="0"/>
        <w:rPr>
          <w:rFonts w:ascii="AvenirLTStd-Book" w:eastAsiaTheme="minorHAnsi" w:hAnsi="AvenirLTStd-Book" w:cs="AvenirLTStd-Book"/>
          <w:sz w:val="21"/>
          <w:szCs w:val="21"/>
        </w:rPr>
      </w:pPr>
      <w:r w:rsidRPr="00AB4EFA">
        <w:rPr>
          <w:rFonts w:asciiTheme="minorHAnsi" w:hAnsiTheme="minorHAnsi"/>
          <w:szCs w:val="24"/>
        </w:rPr>
        <w:t>concise and presented in an understandable and uniform format accessible to persons with disabilities</w:t>
      </w:r>
      <w:r w:rsidR="00230D1F">
        <w:rPr>
          <w:rFonts w:asciiTheme="minorHAnsi" w:hAnsiTheme="minorHAnsi"/>
          <w:szCs w:val="24"/>
        </w:rPr>
        <w:t>;</w:t>
      </w:r>
      <w:r w:rsidRPr="00AB4EFA">
        <w:rPr>
          <w:rFonts w:asciiTheme="minorHAnsi" w:hAnsiTheme="minorHAnsi"/>
          <w:szCs w:val="24"/>
        </w:rPr>
        <w:t xml:space="preserve"> </w:t>
      </w:r>
    </w:p>
    <w:p w:rsidR="00BE024C" w:rsidRPr="00AB4EFA" w:rsidRDefault="00BE024C" w:rsidP="00021FCD">
      <w:pPr>
        <w:pStyle w:val="ListParagraph"/>
        <w:numPr>
          <w:ilvl w:val="0"/>
          <w:numId w:val="7"/>
        </w:numPr>
        <w:autoSpaceDE w:val="0"/>
        <w:autoSpaceDN w:val="0"/>
        <w:adjustRightInd w:val="0"/>
        <w:spacing w:after="120"/>
        <w:ind w:left="1138"/>
        <w:contextualSpacing w:val="0"/>
        <w:rPr>
          <w:rFonts w:ascii="AvenirLTStd-Book" w:eastAsiaTheme="minorHAnsi" w:hAnsi="AvenirLTStd-Book" w:cs="AvenirLTStd-Book"/>
          <w:sz w:val="21"/>
          <w:szCs w:val="21"/>
        </w:rPr>
      </w:pPr>
      <w:r w:rsidRPr="00AB4EFA">
        <w:rPr>
          <w:rFonts w:asciiTheme="minorHAnsi" w:hAnsiTheme="minorHAnsi"/>
          <w:szCs w:val="24"/>
        </w:rPr>
        <w:t>provided in a language that parents can understand</w:t>
      </w:r>
      <w:r w:rsidR="00230D1F">
        <w:rPr>
          <w:rFonts w:asciiTheme="minorHAnsi" w:hAnsiTheme="minorHAnsi"/>
          <w:szCs w:val="24"/>
        </w:rPr>
        <w:t xml:space="preserve"> (to the extent practicable); and</w:t>
      </w:r>
    </w:p>
    <w:p w:rsidR="00BE024C" w:rsidRPr="00AB4EFA" w:rsidRDefault="00BE024C" w:rsidP="00AB4EFA">
      <w:pPr>
        <w:pStyle w:val="ListParagraph"/>
        <w:numPr>
          <w:ilvl w:val="0"/>
          <w:numId w:val="7"/>
        </w:numPr>
        <w:autoSpaceDE w:val="0"/>
        <w:autoSpaceDN w:val="0"/>
        <w:adjustRightInd w:val="0"/>
        <w:spacing w:after="240"/>
        <w:rPr>
          <w:rFonts w:asciiTheme="minorHAnsi" w:hAnsiTheme="minorHAnsi"/>
          <w:szCs w:val="24"/>
        </w:rPr>
      </w:pPr>
      <w:r w:rsidRPr="00AB4EFA">
        <w:rPr>
          <w:rFonts w:asciiTheme="minorHAnsi" w:hAnsiTheme="minorHAnsi"/>
          <w:szCs w:val="24"/>
        </w:rPr>
        <w:t>posted annually on state and LEA websites on or before December 31 for the preceding school year (e.g., by December 31, 2018, for the 2017-2018 school year.</w:t>
      </w:r>
    </w:p>
    <w:p w:rsidR="001F14D6" w:rsidRDefault="00BE024C" w:rsidP="001F14D6">
      <w:pPr>
        <w:autoSpaceDE w:val="0"/>
        <w:autoSpaceDN w:val="0"/>
        <w:adjustRightInd w:val="0"/>
        <w:spacing w:after="0" w:line="240" w:lineRule="auto"/>
        <w:rPr>
          <w:rFonts w:ascii="AvenirLTStd-Book" w:hAnsi="AvenirLTStd-Book" w:cs="AvenirLTStd-Book"/>
          <w:sz w:val="21"/>
          <w:szCs w:val="21"/>
        </w:rPr>
      </w:pPr>
      <w:r w:rsidRPr="007230B2">
        <w:rPr>
          <w:rFonts w:asciiTheme="minorHAnsi" w:hAnsiTheme="minorHAnsi"/>
          <w:szCs w:val="24"/>
        </w:rPr>
        <w:t xml:space="preserve">An SEA must make its report card available on a single webpage of the SEA’s </w:t>
      </w:r>
      <w:r w:rsidR="00230D1F">
        <w:rPr>
          <w:rFonts w:asciiTheme="minorHAnsi" w:hAnsiTheme="minorHAnsi"/>
          <w:szCs w:val="24"/>
        </w:rPr>
        <w:t>w</w:t>
      </w:r>
      <w:r w:rsidRPr="007230B2">
        <w:rPr>
          <w:rFonts w:asciiTheme="minorHAnsi" w:hAnsiTheme="minorHAnsi"/>
          <w:szCs w:val="24"/>
        </w:rPr>
        <w:t xml:space="preserve">ebsite (ESEA section 1111(h)(1)(B)(iii)). For more information regarding accessibility of report cards, see </w:t>
      </w:r>
      <w:hyperlink r:id="rId7" w:history="1">
        <w:r w:rsidRPr="00230D1F">
          <w:rPr>
            <w:rStyle w:val="Hyperlink"/>
            <w:rFonts w:asciiTheme="minorHAnsi" w:hAnsiTheme="minorHAnsi"/>
          </w:rPr>
          <w:t>ESSA State and Local Report Cards Guidance Non-Regulatory Guidance</w:t>
        </w:r>
      </w:hyperlink>
      <w:r w:rsidRPr="007230B2">
        <w:rPr>
          <w:rFonts w:asciiTheme="minorHAnsi" w:hAnsiTheme="minorHAnsi"/>
        </w:rPr>
        <w:t xml:space="preserve">, Questions B-8-11. </w:t>
      </w:r>
    </w:p>
    <w:p w:rsidR="001F14D6" w:rsidRDefault="001F14D6" w:rsidP="001F14D6">
      <w:pPr>
        <w:autoSpaceDE w:val="0"/>
        <w:autoSpaceDN w:val="0"/>
        <w:adjustRightInd w:val="0"/>
        <w:spacing w:after="0" w:line="240" w:lineRule="auto"/>
        <w:rPr>
          <w:rFonts w:ascii="AvenirLTStd-Book" w:hAnsi="AvenirLTStd-Book" w:cs="AvenirLTStd-Book"/>
          <w:sz w:val="21"/>
          <w:szCs w:val="21"/>
        </w:rPr>
      </w:pPr>
      <w:r>
        <w:rPr>
          <w:rFonts w:ascii="AvenirLTStd-Book" w:hAnsi="AvenirLTStd-Book" w:cs="AvenirLTStd-Book"/>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41909</wp:posOffset>
                </wp:positionH>
                <wp:positionV relativeFrom="paragraph">
                  <wp:posOffset>165100</wp:posOffset>
                </wp:positionV>
                <wp:extent cx="5457825" cy="0"/>
                <wp:effectExtent l="0" t="0" r="0" b="0"/>
                <wp:wrapNone/>
                <wp:docPr id="3" name="Straight Connector 3" descr="A simple straight line that divides the introductory text from the more detailed information section." title="Dividing Line"/>
                <wp:cNvGraphicFramePr/>
                <a:graphic xmlns:a="http://schemas.openxmlformats.org/drawingml/2006/main">
                  <a:graphicData uri="http://schemas.microsoft.com/office/word/2010/wordprocessingShape">
                    <wps:wsp>
                      <wps:cNvCnPr/>
                      <wps:spPr>
                        <a:xfrm>
                          <a:off x="0" y="0"/>
                          <a:ext cx="545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532D9" id="Straight Connector 3" o:spid="_x0000_s1026" alt="Title: Dividing Line - Description: A simple straight line that divides the introductory text from the more detailed information section."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13pt" to="43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" strokecolor="black [3213]" strokeweight=".5pt">
                <v:stroke joinstyle="miter"/>
              </v:line>
            </w:pict>
          </mc:Fallback>
        </mc:AlternateContent>
      </w:r>
    </w:p>
    <w:p w:rsidR="001F14D6" w:rsidRDefault="001F14D6" w:rsidP="001F14D6">
      <w:pPr>
        <w:autoSpaceDE w:val="0"/>
        <w:autoSpaceDN w:val="0"/>
        <w:adjustRightInd w:val="0"/>
        <w:spacing w:after="0" w:line="240" w:lineRule="auto"/>
        <w:rPr>
          <w:rFonts w:ascii="AvenirLTStd-Book" w:hAnsi="AvenirLTStd-Book" w:cs="AvenirLTStd-Book"/>
          <w:sz w:val="21"/>
          <w:szCs w:val="21"/>
        </w:rPr>
      </w:pPr>
    </w:p>
    <w:p w:rsidR="00230D1F" w:rsidRDefault="00BE024C" w:rsidP="001F14D6">
      <w:pPr>
        <w:autoSpaceDE w:val="0"/>
        <w:autoSpaceDN w:val="0"/>
        <w:adjustRightInd w:val="0"/>
        <w:spacing w:after="0" w:line="240" w:lineRule="auto"/>
        <w:rPr>
          <w:rFonts w:asciiTheme="minorHAnsi" w:hAnsiTheme="minorHAnsi"/>
          <w:b/>
          <w:szCs w:val="24"/>
        </w:rPr>
      </w:pPr>
      <w:r w:rsidRPr="00B97107">
        <w:rPr>
          <w:rFonts w:asciiTheme="minorHAnsi" w:hAnsiTheme="minorHAnsi"/>
          <w:b/>
          <w:szCs w:val="24"/>
        </w:rPr>
        <w:t>State and LEA report cards must include (1) an overview section and (2) a detail section that contain the following information:</w:t>
      </w:r>
    </w:p>
    <w:p w:rsidR="00BE024C" w:rsidRPr="00CE2194" w:rsidRDefault="00BE024C" w:rsidP="00230D1F">
      <w:pPr>
        <w:spacing w:after="240" w:line="240" w:lineRule="auto"/>
        <w:rPr>
          <w:rFonts w:asciiTheme="minorHAnsi" w:hAnsiTheme="minorHAnsi"/>
        </w:rPr>
      </w:pPr>
      <w:r w:rsidRPr="00C8737C">
        <w:rPr>
          <w:rFonts w:asciiTheme="minorHAnsi" w:hAnsiTheme="minorHAnsi"/>
          <w:b/>
          <w:color w:val="002060"/>
          <w:sz w:val="28"/>
          <w:szCs w:val="28"/>
        </w:rPr>
        <w:t>Overview Section</w:t>
      </w:r>
      <w:r w:rsidRPr="007B4F62">
        <w:rPr>
          <w:rFonts w:asciiTheme="minorHAnsi" w:hAnsiTheme="minorHAnsi"/>
          <w:szCs w:val="24"/>
        </w:rPr>
        <w:t xml:space="preserve"> </w:t>
      </w:r>
      <w:r w:rsidR="00230D1F">
        <w:rPr>
          <w:rFonts w:asciiTheme="minorHAnsi" w:hAnsiTheme="minorHAnsi"/>
          <w:szCs w:val="24"/>
        </w:rPr>
        <w:t xml:space="preserve">| </w:t>
      </w:r>
      <w:r w:rsidR="00230D1F" w:rsidRPr="00230D1F">
        <w:rPr>
          <w:rFonts w:asciiTheme="minorHAnsi" w:hAnsiTheme="minorHAnsi"/>
          <w:szCs w:val="24"/>
        </w:rPr>
        <w:t>The overview section must contain key metrics of state, LEA, and school performance and progress for all students as well as performance and progress data that are disaggregated for, at a minimum, economically disadvantaged students, students from each major racial and ethnic group, children with disabilities, and English learners.</w:t>
      </w:r>
      <w:r w:rsidR="00230D1F">
        <w:rPr>
          <w:rFonts w:asciiTheme="minorHAnsi" w:hAnsiTheme="minorHAnsi"/>
          <w:szCs w:val="24"/>
        </w:rPr>
        <w:t xml:space="preserve"> </w:t>
      </w:r>
      <w:r w:rsidR="00230D1F" w:rsidRPr="00230D1F">
        <w:rPr>
          <w:rFonts w:asciiTheme="minorHAnsi" w:hAnsiTheme="minorHAnsi"/>
          <w:szCs w:val="24"/>
        </w:rPr>
        <w:t>The information to be provided in the overview section includes:</w:t>
      </w:r>
    </w:p>
    <w:p w:rsidR="00021FCD" w:rsidRDefault="00BE024C" w:rsidP="00021FCD">
      <w:pPr>
        <w:pStyle w:val="Default"/>
        <w:numPr>
          <w:ilvl w:val="0"/>
          <w:numId w:val="13"/>
        </w:numPr>
        <w:spacing w:after="120"/>
        <w:rPr>
          <w:rFonts w:asciiTheme="minorHAnsi" w:hAnsiTheme="minorHAnsi"/>
        </w:rPr>
      </w:pPr>
      <w:r>
        <w:rPr>
          <w:rFonts w:asciiTheme="minorHAnsi" w:hAnsiTheme="minorHAnsi"/>
        </w:rPr>
        <w:lastRenderedPageBreak/>
        <w:t>t</w:t>
      </w:r>
      <w:r w:rsidRPr="00CE2194">
        <w:rPr>
          <w:rFonts w:asciiTheme="minorHAnsi" w:hAnsiTheme="minorHAnsi"/>
        </w:rPr>
        <w:t>he number and percentage of students at each achievement</w:t>
      </w:r>
      <w:r>
        <w:rPr>
          <w:rFonts w:asciiTheme="minorHAnsi" w:hAnsiTheme="minorHAnsi"/>
        </w:rPr>
        <w:t xml:space="preserve"> level (at least 3) </w:t>
      </w:r>
      <w:r w:rsidRPr="00CE2194">
        <w:rPr>
          <w:rFonts w:asciiTheme="minorHAnsi" w:hAnsiTheme="minorHAnsi"/>
        </w:rPr>
        <w:t>on each of the state’s academic assessments in mathematics, reading/language arts, and science</w:t>
      </w:r>
      <w:r>
        <w:rPr>
          <w:rFonts w:asciiTheme="minorHAnsi" w:hAnsiTheme="minorHAnsi"/>
        </w:rPr>
        <w:t>;</w:t>
      </w:r>
      <w:r w:rsidRPr="00CE2194">
        <w:rPr>
          <w:rFonts w:asciiTheme="minorHAnsi" w:hAnsiTheme="minorHAnsi"/>
        </w:rPr>
        <w:t xml:space="preserve"> </w:t>
      </w:r>
    </w:p>
    <w:p w:rsidR="00FB2ADA" w:rsidRPr="00021FCD" w:rsidRDefault="00230D1F" w:rsidP="00021FCD">
      <w:pPr>
        <w:pStyle w:val="Default"/>
        <w:numPr>
          <w:ilvl w:val="0"/>
          <w:numId w:val="13"/>
        </w:numPr>
        <w:spacing w:after="120"/>
        <w:rPr>
          <w:rFonts w:asciiTheme="minorHAnsi" w:hAnsiTheme="minorHAnsi"/>
        </w:rPr>
      </w:pPr>
      <w:r>
        <w:rPr>
          <w:rFonts w:asciiTheme="minorHAnsi" w:hAnsiTheme="minorHAnsi"/>
        </w:rPr>
        <w:t xml:space="preserve">the </w:t>
      </w:r>
      <w:r w:rsidR="00BE024C" w:rsidRPr="00021FCD">
        <w:rPr>
          <w:rFonts w:asciiTheme="minorHAnsi" w:hAnsiTheme="minorHAnsi"/>
        </w:rPr>
        <w:t>English language proficiency of English learners;</w:t>
      </w:r>
    </w:p>
    <w:p w:rsidR="00FB2ADA" w:rsidRPr="00FB2ADA" w:rsidRDefault="00BE024C" w:rsidP="00021FCD">
      <w:pPr>
        <w:pStyle w:val="Default"/>
        <w:numPr>
          <w:ilvl w:val="0"/>
          <w:numId w:val="13"/>
        </w:numPr>
        <w:spacing w:after="120"/>
        <w:rPr>
          <w:rFonts w:asciiTheme="minorHAnsi" w:hAnsiTheme="minorHAnsi"/>
        </w:rPr>
      </w:pPr>
      <w:r w:rsidRPr="00FB2ADA">
        <w:rPr>
          <w:rFonts w:asciiTheme="minorHAnsi" w:hAnsiTheme="minorHAnsi"/>
        </w:rPr>
        <w:t>the performance on each measure within the state’s academic progress indicator (such as growth) for schools that are not high schools;</w:t>
      </w:r>
    </w:p>
    <w:p w:rsidR="00BE024C" w:rsidRDefault="00BE024C" w:rsidP="00021FCD">
      <w:pPr>
        <w:pStyle w:val="Default"/>
        <w:numPr>
          <w:ilvl w:val="0"/>
          <w:numId w:val="13"/>
        </w:numPr>
        <w:spacing w:after="120"/>
        <w:rPr>
          <w:rFonts w:asciiTheme="minorHAnsi" w:hAnsiTheme="minorHAnsi"/>
        </w:rPr>
      </w:pPr>
      <w:r>
        <w:rPr>
          <w:rFonts w:asciiTheme="minorHAnsi" w:hAnsiTheme="minorHAnsi"/>
        </w:rPr>
        <w:t>high school graduation rates (four-year cohort and extended-year, if state is using);</w:t>
      </w:r>
    </w:p>
    <w:p w:rsidR="00BE024C" w:rsidRPr="009A5068" w:rsidRDefault="00BE024C" w:rsidP="00FB2ADA">
      <w:pPr>
        <w:pStyle w:val="Default"/>
        <w:numPr>
          <w:ilvl w:val="0"/>
          <w:numId w:val="13"/>
        </w:numPr>
        <w:spacing w:after="240"/>
        <w:rPr>
          <w:rFonts w:asciiTheme="minorHAnsi" w:hAnsiTheme="minorHAnsi"/>
        </w:rPr>
      </w:pPr>
      <w:r>
        <w:rPr>
          <w:rFonts w:asciiTheme="minorHAnsi" w:hAnsiTheme="minorHAnsi"/>
        </w:rPr>
        <w:t>the performance on each measure of school quality or student success.</w:t>
      </w:r>
    </w:p>
    <w:p w:rsidR="00BE024C" w:rsidRPr="00E53EC1" w:rsidRDefault="00BE024C" w:rsidP="00FB2ADA">
      <w:pPr>
        <w:pStyle w:val="Default"/>
        <w:spacing w:after="240"/>
        <w:ind w:left="360"/>
        <w:rPr>
          <w:rFonts w:asciiTheme="minorHAnsi" w:hAnsiTheme="minorHAnsi"/>
          <w:i/>
        </w:rPr>
      </w:pPr>
      <w:r w:rsidRPr="00E53EC1">
        <w:rPr>
          <w:rFonts w:asciiTheme="minorHAnsi" w:hAnsiTheme="minorHAnsi"/>
          <w:i/>
        </w:rPr>
        <w:t xml:space="preserve">NOTE: Disaggregated student achievement information for homeless children and youth, children in foster care, and students with a parent who is a member of the Armed forces on active duty must be included in either the overview or the detail section. </w:t>
      </w:r>
    </w:p>
    <w:p w:rsidR="00BE024C" w:rsidRPr="009A5068" w:rsidRDefault="00BE024C" w:rsidP="004F1E91">
      <w:pPr>
        <w:pStyle w:val="Default"/>
        <w:spacing w:before="480" w:after="240"/>
        <w:rPr>
          <w:rFonts w:asciiTheme="minorHAnsi" w:hAnsiTheme="minorHAnsi"/>
          <w:b/>
        </w:rPr>
      </w:pPr>
      <w:r w:rsidRPr="00C8737C">
        <w:rPr>
          <w:rFonts w:asciiTheme="minorHAnsi" w:hAnsiTheme="minorHAnsi"/>
          <w:b/>
          <w:color w:val="002060"/>
          <w:sz w:val="28"/>
          <w:szCs w:val="28"/>
        </w:rPr>
        <w:t>Detail Section</w:t>
      </w:r>
      <w:r w:rsidR="00230D1F" w:rsidRPr="00C8737C">
        <w:rPr>
          <w:rFonts w:asciiTheme="minorHAnsi" w:hAnsiTheme="minorHAnsi"/>
          <w:b/>
          <w:color w:val="002060"/>
          <w:sz w:val="28"/>
          <w:szCs w:val="28"/>
        </w:rPr>
        <w:t xml:space="preserve"> </w:t>
      </w:r>
      <w:r w:rsidR="00230D1F">
        <w:rPr>
          <w:rFonts w:asciiTheme="minorHAnsi" w:hAnsiTheme="minorHAnsi"/>
        </w:rPr>
        <w:t xml:space="preserve">| </w:t>
      </w:r>
      <w:r w:rsidR="00230D1F" w:rsidRPr="00230D1F">
        <w:rPr>
          <w:rFonts w:asciiTheme="minorHAnsi" w:hAnsiTheme="minorHAnsi"/>
        </w:rPr>
        <w:t>The detail section must contain</w:t>
      </w:r>
      <w:r w:rsidR="00230D1F">
        <w:rPr>
          <w:rFonts w:asciiTheme="minorHAnsi" w:hAnsiTheme="minorHAnsi"/>
        </w:rPr>
        <w:t xml:space="preserve"> </w:t>
      </w:r>
      <w:r w:rsidR="00230D1F" w:rsidRPr="00230D1F">
        <w:rPr>
          <w:rFonts w:asciiTheme="minorHAnsi" w:hAnsiTheme="minorHAnsi"/>
        </w:rPr>
        <w:t>all remaining information required by ESSA including:</w:t>
      </w:r>
      <w:r w:rsidRPr="008C6E5F">
        <w:rPr>
          <w:rFonts w:asciiTheme="minorHAnsi" w:hAnsiTheme="minorHAnsi"/>
        </w:rPr>
        <w:t xml:space="preserve"> </w:t>
      </w:r>
    </w:p>
    <w:p w:rsidR="00BE024C" w:rsidRPr="00AB4EFA" w:rsidRDefault="00BE024C" w:rsidP="00021FCD">
      <w:pPr>
        <w:pStyle w:val="ListParagraph"/>
        <w:numPr>
          <w:ilvl w:val="0"/>
          <w:numId w:val="9"/>
        </w:numPr>
        <w:spacing w:after="120"/>
        <w:contextualSpacing w:val="0"/>
        <w:rPr>
          <w:rFonts w:asciiTheme="minorHAnsi" w:hAnsiTheme="minorHAnsi"/>
          <w:b/>
          <w:szCs w:val="24"/>
          <w:u w:val="single"/>
        </w:rPr>
      </w:pPr>
      <w:r w:rsidRPr="00AB4EFA">
        <w:rPr>
          <w:rFonts w:asciiTheme="minorHAnsi" w:hAnsiTheme="minorHAnsi"/>
          <w:szCs w:val="24"/>
        </w:rPr>
        <w:t>the minimum number of students (N-size) necessary to be included in each of the student subgroups for use in the accountability system;</w:t>
      </w:r>
    </w:p>
    <w:p w:rsidR="00BE024C" w:rsidRPr="00AB4EFA" w:rsidRDefault="00BE024C" w:rsidP="00021FCD">
      <w:pPr>
        <w:pStyle w:val="ListParagraph"/>
        <w:numPr>
          <w:ilvl w:val="0"/>
          <w:numId w:val="9"/>
        </w:numPr>
        <w:spacing w:after="120"/>
        <w:contextualSpacing w:val="0"/>
        <w:rPr>
          <w:rFonts w:asciiTheme="minorHAnsi" w:hAnsiTheme="minorHAnsi"/>
          <w:szCs w:val="24"/>
        </w:rPr>
      </w:pPr>
      <w:r w:rsidRPr="00AB4EFA">
        <w:rPr>
          <w:rFonts w:asciiTheme="minorHAnsi" w:hAnsiTheme="minorHAnsi"/>
          <w:szCs w:val="24"/>
        </w:rPr>
        <w:t>progress toward the long-term goals and measurements of interim progress for academic achievement, graduations rates</w:t>
      </w:r>
      <w:r w:rsidR="00230D1F">
        <w:rPr>
          <w:rFonts w:asciiTheme="minorHAnsi" w:hAnsiTheme="minorHAnsi"/>
          <w:szCs w:val="24"/>
        </w:rPr>
        <w:t>,</w:t>
      </w:r>
      <w:r w:rsidRPr="00AB4EFA">
        <w:rPr>
          <w:rFonts w:asciiTheme="minorHAnsi" w:hAnsiTheme="minorHAnsi"/>
          <w:szCs w:val="24"/>
        </w:rPr>
        <w:t xml:space="preserve"> and English learners achieving English proficiency for all students and for each student subgroup;</w:t>
      </w:r>
    </w:p>
    <w:p w:rsidR="00BE024C" w:rsidRPr="00AB4EFA" w:rsidRDefault="00BE024C" w:rsidP="00021FCD">
      <w:pPr>
        <w:pStyle w:val="ListParagraph"/>
        <w:numPr>
          <w:ilvl w:val="0"/>
          <w:numId w:val="9"/>
        </w:numPr>
        <w:spacing w:after="120"/>
        <w:contextualSpacing w:val="0"/>
        <w:rPr>
          <w:rFonts w:asciiTheme="minorHAnsi" w:hAnsiTheme="minorHAnsi"/>
          <w:szCs w:val="24"/>
        </w:rPr>
      </w:pPr>
      <w:r w:rsidRPr="00AB4EFA">
        <w:rPr>
          <w:rFonts w:asciiTheme="minorHAnsi" w:hAnsiTheme="minorHAnsi"/>
          <w:szCs w:val="24"/>
        </w:rPr>
        <w:t>the state’s system of meaningful differentiation including the indicators, the weight of each indicator</w:t>
      </w:r>
      <w:r w:rsidR="00230D1F">
        <w:rPr>
          <w:rFonts w:asciiTheme="minorHAnsi" w:hAnsiTheme="minorHAnsi"/>
          <w:szCs w:val="24"/>
        </w:rPr>
        <w:t>,</w:t>
      </w:r>
      <w:r w:rsidRPr="00AB4EFA">
        <w:rPr>
          <w:rFonts w:asciiTheme="minorHAnsi" w:hAnsiTheme="minorHAnsi"/>
          <w:szCs w:val="24"/>
        </w:rPr>
        <w:t xml:space="preserve"> and the methodology used to determine consistently underperform</w:t>
      </w:r>
      <w:r w:rsidR="00230D1F">
        <w:rPr>
          <w:rFonts w:asciiTheme="minorHAnsi" w:hAnsiTheme="minorHAnsi"/>
          <w:szCs w:val="24"/>
        </w:rPr>
        <w:t>ance</w:t>
      </w:r>
      <w:r w:rsidRPr="00AB4EFA">
        <w:rPr>
          <w:rFonts w:asciiTheme="minorHAnsi" w:hAnsiTheme="minorHAnsi"/>
          <w:szCs w:val="24"/>
        </w:rPr>
        <w:t xml:space="preserve"> for any subgroup of students;</w:t>
      </w:r>
    </w:p>
    <w:p w:rsidR="00BE024C" w:rsidRPr="00AB4EFA" w:rsidRDefault="00BE024C" w:rsidP="00021FCD">
      <w:pPr>
        <w:pStyle w:val="ListParagraph"/>
        <w:numPr>
          <w:ilvl w:val="0"/>
          <w:numId w:val="9"/>
        </w:numPr>
        <w:spacing w:after="120"/>
        <w:contextualSpacing w:val="0"/>
        <w:rPr>
          <w:rFonts w:asciiTheme="minorHAnsi" w:hAnsiTheme="minorHAnsi"/>
          <w:szCs w:val="24"/>
        </w:rPr>
      </w:pPr>
      <w:r w:rsidRPr="00AB4EFA">
        <w:rPr>
          <w:rFonts w:asciiTheme="minorHAnsi" w:hAnsiTheme="minorHAnsi"/>
          <w:szCs w:val="24"/>
        </w:rPr>
        <w:t>the number and names of all schools identified for comprehensive or targeted support and improvement;</w:t>
      </w:r>
    </w:p>
    <w:p w:rsidR="00BE024C" w:rsidRPr="00AB4EFA" w:rsidRDefault="00BE024C" w:rsidP="00021FCD">
      <w:pPr>
        <w:pStyle w:val="ListParagraph"/>
        <w:numPr>
          <w:ilvl w:val="0"/>
          <w:numId w:val="9"/>
        </w:numPr>
        <w:spacing w:after="120"/>
        <w:contextualSpacing w:val="0"/>
        <w:rPr>
          <w:rFonts w:asciiTheme="minorHAnsi" w:hAnsiTheme="minorHAnsi"/>
          <w:szCs w:val="24"/>
        </w:rPr>
      </w:pPr>
      <w:r w:rsidRPr="00AB4EFA">
        <w:rPr>
          <w:rFonts w:asciiTheme="minorHAnsi" w:hAnsiTheme="minorHAnsi"/>
          <w:szCs w:val="24"/>
        </w:rPr>
        <w:t>the percentage of students assessed and not assessed, for all students and each subgroup of students;</w:t>
      </w:r>
    </w:p>
    <w:p w:rsidR="00BE024C" w:rsidRPr="00AB4EFA" w:rsidRDefault="00BE024C" w:rsidP="00021FCD">
      <w:pPr>
        <w:pStyle w:val="ListParagraph"/>
        <w:numPr>
          <w:ilvl w:val="0"/>
          <w:numId w:val="9"/>
        </w:numPr>
        <w:spacing w:after="120"/>
        <w:contextualSpacing w:val="0"/>
        <w:rPr>
          <w:rFonts w:asciiTheme="minorHAnsi" w:hAnsiTheme="minorHAnsi"/>
          <w:szCs w:val="24"/>
        </w:rPr>
      </w:pPr>
      <w:r w:rsidRPr="00AB4EFA">
        <w:rPr>
          <w:rFonts w:asciiTheme="minorHAnsi" w:hAnsiTheme="minorHAnsi"/>
          <w:szCs w:val="24"/>
        </w:rPr>
        <w:t>information submitted to the Civil Rights Data Collection regarding such measures as suspensions, expulsions, chronic absenteeism, bullying and harassment, preschool enrollment,</w:t>
      </w:r>
      <w:r w:rsidR="00230D1F">
        <w:rPr>
          <w:rFonts w:asciiTheme="minorHAnsi" w:hAnsiTheme="minorHAnsi"/>
          <w:szCs w:val="24"/>
        </w:rPr>
        <w:t xml:space="preserve"> and</w:t>
      </w:r>
      <w:r w:rsidRPr="00AB4EFA">
        <w:rPr>
          <w:rFonts w:asciiTheme="minorHAnsi" w:hAnsiTheme="minorHAnsi"/>
          <w:szCs w:val="24"/>
        </w:rPr>
        <w:t xml:space="preserve"> teacher qualifications;</w:t>
      </w:r>
    </w:p>
    <w:p w:rsidR="00BE024C" w:rsidRPr="00AB4EFA" w:rsidRDefault="00BE024C" w:rsidP="00021FCD">
      <w:pPr>
        <w:pStyle w:val="ListParagraph"/>
        <w:numPr>
          <w:ilvl w:val="0"/>
          <w:numId w:val="9"/>
        </w:numPr>
        <w:spacing w:after="120"/>
        <w:contextualSpacing w:val="0"/>
        <w:rPr>
          <w:rFonts w:asciiTheme="minorHAnsi" w:hAnsiTheme="minorHAnsi"/>
          <w:szCs w:val="24"/>
        </w:rPr>
      </w:pPr>
      <w:r w:rsidRPr="00AB4EFA">
        <w:rPr>
          <w:rFonts w:asciiTheme="minorHAnsi" w:hAnsiTheme="minorHAnsi"/>
          <w:szCs w:val="24"/>
        </w:rPr>
        <w:t>per</w:t>
      </w:r>
      <w:r w:rsidR="00230D1F">
        <w:rPr>
          <w:rFonts w:asciiTheme="minorHAnsi" w:hAnsiTheme="minorHAnsi"/>
          <w:szCs w:val="24"/>
        </w:rPr>
        <w:t>-</w:t>
      </w:r>
      <w:r w:rsidRPr="00AB4EFA">
        <w:rPr>
          <w:rFonts w:asciiTheme="minorHAnsi" w:hAnsiTheme="minorHAnsi"/>
          <w:szCs w:val="24"/>
        </w:rPr>
        <w:t>pupil expenditures of federal, state</w:t>
      </w:r>
      <w:r w:rsidR="00230D1F">
        <w:rPr>
          <w:rFonts w:asciiTheme="minorHAnsi" w:hAnsiTheme="minorHAnsi"/>
          <w:szCs w:val="24"/>
        </w:rPr>
        <w:t>,</w:t>
      </w:r>
      <w:r w:rsidRPr="00AB4EFA">
        <w:rPr>
          <w:rFonts w:asciiTheme="minorHAnsi" w:hAnsiTheme="minorHAnsi"/>
          <w:szCs w:val="24"/>
        </w:rPr>
        <w:t xml:space="preserve"> and local funds for each school district and each school for the preceding year (beginning with 2018-2019 SY);</w:t>
      </w:r>
    </w:p>
    <w:p w:rsidR="00BE024C" w:rsidRPr="00AB4EFA" w:rsidRDefault="00BE024C" w:rsidP="00021FCD">
      <w:pPr>
        <w:pStyle w:val="ListParagraph"/>
        <w:numPr>
          <w:ilvl w:val="0"/>
          <w:numId w:val="9"/>
        </w:numPr>
        <w:spacing w:after="120"/>
        <w:contextualSpacing w:val="0"/>
        <w:rPr>
          <w:rFonts w:asciiTheme="minorHAnsi" w:hAnsiTheme="minorHAnsi"/>
          <w:szCs w:val="24"/>
        </w:rPr>
      </w:pPr>
      <w:r w:rsidRPr="00AB4EFA">
        <w:rPr>
          <w:rFonts w:asciiTheme="minorHAnsi" w:hAnsiTheme="minorHAnsi"/>
          <w:szCs w:val="24"/>
        </w:rPr>
        <w:lastRenderedPageBreak/>
        <w:t>number and percentages of students with the most significant cognitive disabilities who take the alternate assessment on alternate academic achievement standards by grade and subject;</w:t>
      </w:r>
    </w:p>
    <w:p w:rsidR="00BE024C" w:rsidRPr="00AB4EFA" w:rsidRDefault="00BE024C" w:rsidP="00021FCD">
      <w:pPr>
        <w:pStyle w:val="ListParagraph"/>
        <w:numPr>
          <w:ilvl w:val="0"/>
          <w:numId w:val="9"/>
        </w:numPr>
        <w:spacing w:after="120"/>
        <w:contextualSpacing w:val="0"/>
        <w:rPr>
          <w:rFonts w:asciiTheme="minorHAnsi" w:hAnsiTheme="minorHAnsi"/>
          <w:szCs w:val="24"/>
        </w:rPr>
      </w:pPr>
      <w:r w:rsidRPr="00AB4EFA">
        <w:rPr>
          <w:rFonts w:asciiTheme="minorHAnsi" w:hAnsiTheme="minorHAnsi"/>
          <w:szCs w:val="24"/>
        </w:rPr>
        <w:t>results of the state on the National Assessment of Educational Progress (NAEP) in reading and math in grades 4 and 8 compared to the national average of NAEP results;</w:t>
      </w:r>
    </w:p>
    <w:p w:rsidR="00021FCD" w:rsidRPr="002C4B12" w:rsidRDefault="00BE024C" w:rsidP="002C4B12">
      <w:pPr>
        <w:pStyle w:val="ListParagraph"/>
        <w:numPr>
          <w:ilvl w:val="0"/>
          <w:numId w:val="9"/>
        </w:numPr>
        <w:spacing w:after="120"/>
        <w:contextualSpacing w:val="0"/>
        <w:rPr>
          <w:rFonts w:asciiTheme="minorHAnsi" w:hAnsiTheme="minorHAnsi"/>
          <w:szCs w:val="24"/>
        </w:rPr>
      </w:pPr>
      <w:r w:rsidRPr="002C4B12">
        <w:rPr>
          <w:rFonts w:asciiTheme="minorHAnsi" w:hAnsiTheme="minorHAnsi"/>
          <w:szCs w:val="24"/>
        </w:rPr>
        <w:t>enrollment in public and private postsecondary education, where available, by each student subgroup;</w:t>
      </w:r>
    </w:p>
    <w:p w:rsidR="00BE024C" w:rsidRPr="00AB4EFA" w:rsidRDefault="00BE024C" w:rsidP="00021FCD">
      <w:pPr>
        <w:pStyle w:val="ListParagraph"/>
        <w:numPr>
          <w:ilvl w:val="0"/>
          <w:numId w:val="9"/>
        </w:numPr>
        <w:spacing w:after="120"/>
        <w:contextualSpacing w:val="0"/>
        <w:rPr>
          <w:rFonts w:asciiTheme="minorHAnsi" w:hAnsiTheme="minorHAnsi"/>
          <w:szCs w:val="24"/>
        </w:rPr>
      </w:pPr>
      <w:r w:rsidRPr="00AB4EFA">
        <w:rPr>
          <w:rFonts w:asciiTheme="minorHAnsi" w:hAnsiTheme="minorHAnsi"/>
          <w:szCs w:val="24"/>
        </w:rPr>
        <w:t>educator qualifications;</w:t>
      </w:r>
    </w:p>
    <w:p w:rsidR="00BE024C" w:rsidRPr="00AB4EFA" w:rsidRDefault="00BE024C" w:rsidP="00021FCD">
      <w:pPr>
        <w:pStyle w:val="ListParagraph"/>
        <w:numPr>
          <w:ilvl w:val="0"/>
          <w:numId w:val="9"/>
        </w:numPr>
        <w:spacing w:after="120"/>
        <w:contextualSpacing w:val="0"/>
        <w:rPr>
          <w:rFonts w:asciiTheme="minorHAnsi" w:hAnsiTheme="minorHAnsi"/>
          <w:szCs w:val="24"/>
        </w:rPr>
      </w:pPr>
      <w:r w:rsidRPr="00AB4EFA">
        <w:rPr>
          <w:rFonts w:asciiTheme="minorHAnsi" w:hAnsiTheme="minorHAnsi"/>
          <w:szCs w:val="24"/>
        </w:rPr>
        <w:t>information on school improvement funds</w:t>
      </w:r>
      <w:r w:rsidR="00230D1F">
        <w:rPr>
          <w:rFonts w:asciiTheme="minorHAnsi" w:hAnsiTheme="minorHAnsi"/>
          <w:szCs w:val="24"/>
        </w:rPr>
        <w:t>,</w:t>
      </w:r>
      <w:r w:rsidRPr="00AB4EFA">
        <w:rPr>
          <w:rFonts w:asciiTheme="minorHAnsi" w:hAnsiTheme="minorHAnsi"/>
          <w:szCs w:val="24"/>
        </w:rPr>
        <w:t xml:space="preserve"> by LEA and school;</w:t>
      </w:r>
    </w:p>
    <w:p w:rsidR="00021FCD" w:rsidRPr="00021FCD" w:rsidRDefault="00BE024C" w:rsidP="00FB2ADA">
      <w:pPr>
        <w:pStyle w:val="ListParagraph"/>
        <w:numPr>
          <w:ilvl w:val="0"/>
          <w:numId w:val="9"/>
        </w:numPr>
        <w:spacing w:after="240"/>
        <w:rPr>
          <w:rFonts w:asciiTheme="minorHAnsi" w:hAnsiTheme="minorHAnsi"/>
          <w:b/>
          <w:color w:val="000099"/>
          <w:szCs w:val="24"/>
        </w:rPr>
      </w:pPr>
      <w:r w:rsidRPr="00021FCD">
        <w:rPr>
          <w:rFonts w:asciiTheme="minorHAnsi" w:hAnsiTheme="minorHAnsi"/>
          <w:szCs w:val="24"/>
        </w:rPr>
        <w:t xml:space="preserve">any additional information the state believes is important to parents, students, and other members of the public. </w:t>
      </w:r>
    </w:p>
    <w:p w:rsidR="00BE024C" w:rsidRPr="00C8737C" w:rsidRDefault="00BE024C" w:rsidP="004F1E91">
      <w:pPr>
        <w:spacing w:before="480" w:after="240" w:line="240" w:lineRule="auto"/>
        <w:rPr>
          <w:rFonts w:asciiTheme="minorHAnsi" w:hAnsiTheme="minorHAnsi"/>
          <w:b/>
          <w:color w:val="002060"/>
          <w:sz w:val="28"/>
          <w:szCs w:val="24"/>
        </w:rPr>
      </w:pPr>
      <w:r w:rsidRPr="00C8737C">
        <w:rPr>
          <w:rFonts w:asciiTheme="minorHAnsi" w:hAnsiTheme="minorHAnsi"/>
          <w:b/>
          <w:color w:val="002060"/>
          <w:sz w:val="28"/>
          <w:szCs w:val="24"/>
        </w:rPr>
        <w:t>School District (LEA) Report Cards</w:t>
      </w:r>
    </w:p>
    <w:p w:rsidR="00BE024C" w:rsidRPr="00CE2194" w:rsidRDefault="00BE024C" w:rsidP="009A5068">
      <w:pPr>
        <w:spacing w:after="240" w:line="240" w:lineRule="auto"/>
        <w:rPr>
          <w:rFonts w:asciiTheme="minorHAnsi" w:hAnsiTheme="minorHAnsi"/>
          <w:szCs w:val="24"/>
        </w:rPr>
      </w:pPr>
      <w:r w:rsidRPr="00CE2194">
        <w:rPr>
          <w:rFonts w:asciiTheme="minorHAnsi" w:hAnsiTheme="minorHAnsi"/>
          <w:szCs w:val="24"/>
        </w:rPr>
        <w:t>Districts must issue annual report cards that provide the same information as the Annual State Report Card (except NAEP information) and must also provide information that shows:</w:t>
      </w:r>
    </w:p>
    <w:p w:rsidR="00BE024C" w:rsidRPr="00AB4EFA" w:rsidRDefault="00BE024C" w:rsidP="00021FCD">
      <w:pPr>
        <w:pStyle w:val="ListParagraph"/>
        <w:numPr>
          <w:ilvl w:val="0"/>
          <w:numId w:val="10"/>
        </w:numPr>
        <w:autoSpaceDE w:val="0"/>
        <w:autoSpaceDN w:val="0"/>
        <w:adjustRightInd w:val="0"/>
        <w:spacing w:after="120"/>
        <w:contextualSpacing w:val="0"/>
        <w:rPr>
          <w:rFonts w:asciiTheme="minorHAnsi" w:eastAsiaTheme="minorHAnsi" w:hAnsiTheme="minorHAnsi" w:cs="NewCenturySchlbk-Roman"/>
          <w:szCs w:val="24"/>
        </w:rPr>
      </w:pPr>
      <w:r w:rsidRPr="00AB4EFA">
        <w:rPr>
          <w:rFonts w:asciiTheme="minorHAnsi" w:eastAsiaTheme="minorHAnsi" w:hAnsiTheme="minorHAnsi" w:cs="NewCenturySchlbk-Roman"/>
          <w:szCs w:val="24"/>
        </w:rPr>
        <w:t xml:space="preserve">how students in the district achieved on the academic assessments compared to students in the state as a whole; </w:t>
      </w:r>
    </w:p>
    <w:p w:rsidR="00FB2ADA" w:rsidRPr="00B97107" w:rsidRDefault="00BE024C" w:rsidP="009A5068">
      <w:pPr>
        <w:pStyle w:val="ListParagraph"/>
        <w:numPr>
          <w:ilvl w:val="0"/>
          <w:numId w:val="10"/>
        </w:numPr>
        <w:autoSpaceDE w:val="0"/>
        <w:autoSpaceDN w:val="0"/>
        <w:adjustRightInd w:val="0"/>
        <w:spacing w:after="240"/>
        <w:rPr>
          <w:rFonts w:asciiTheme="minorHAnsi" w:eastAsiaTheme="minorHAnsi" w:hAnsiTheme="minorHAnsi" w:cs="NewCenturySchlbk-Roman"/>
          <w:szCs w:val="24"/>
        </w:rPr>
      </w:pPr>
      <w:r w:rsidRPr="00AB4EFA">
        <w:rPr>
          <w:rFonts w:asciiTheme="minorHAnsi" w:eastAsiaTheme="minorHAnsi" w:hAnsiTheme="minorHAnsi" w:cs="NewCenturySchlbk-Roman"/>
          <w:szCs w:val="24"/>
        </w:rPr>
        <w:t xml:space="preserve">for each school in the district, how the school’s student achievement on the academic assessments compared to students served by the district and the </w:t>
      </w:r>
      <w:proofErr w:type="gramStart"/>
      <w:r w:rsidRPr="00AB4EFA">
        <w:rPr>
          <w:rFonts w:asciiTheme="minorHAnsi" w:eastAsiaTheme="minorHAnsi" w:hAnsiTheme="minorHAnsi" w:cs="NewCenturySchlbk-Roman"/>
          <w:szCs w:val="24"/>
        </w:rPr>
        <w:t>State as a whole</w:t>
      </w:r>
      <w:proofErr w:type="gramEnd"/>
      <w:r w:rsidRPr="00AB4EFA">
        <w:rPr>
          <w:rFonts w:asciiTheme="minorHAnsi" w:eastAsiaTheme="minorHAnsi" w:hAnsiTheme="minorHAnsi" w:cs="NewCenturySchlbk-Roman"/>
          <w:szCs w:val="24"/>
        </w:rPr>
        <w:t xml:space="preserve">. </w:t>
      </w:r>
    </w:p>
    <w:p w:rsidR="00FB2ADA" w:rsidRPr="007603C6" w:rsidRDefault="00BE024C" w:rsidP="004F1E91">
      <w:pPr>
        <w:spacing w:before="480" w:after="240" w:line="240" w:lineRule="auto"/>
        <w:rPr>
          <w:rFonts w:asciiTheme="minorHAnsi" w:hAnsiTheme="minorHAnsi"/>
          <w:b/>
          <w:color w:val="002060"/>
          <w:sz w:val="28"/>
          <w:szCs w:val="24"/>
        </w:rPr>
      </w:pPr>
      <w:r w:rsidRPr="007603C6">
        <w:rPr>
          <w:rFonts w:asciiTheme="minorHAnsi" w:hAnsiTheme="minorHAnsi"/>
          <w:b/>
          <w:color w:val="002060"/>
          <w:sz w:val="28"/>
          <w:szCs w:val="24"/>
        </w:rPr>
        <w:t xml:space="preserve">Checking </w:t>
      </w:r>
      <w:r w:rsidR="007603C6" w:rsidRPr="007603C6">
        <w:rPr>
          <w:rFonts w:asciiTheme="minorHAnsi" w:hAnsiTheme="minorHAnsi"/>
          <w:b/>
          <w:color w:val="002060"/>
          <w:sz w:val="28"/>
          <w:szCs w:val="24"/>
        </w:rPr>
        <w:t>Y</w:t>
      </w:r>
      <w:r w:rsidRPr="007603C6">
        <w:rPr>
          <w:rFonts w:asciiTheme="minorHAnsi" w:hAnsiTheme="minorHAnsi"/>
          <w:b/>
          <w:color w:val="002060"/>
          <w:sz w:val="28"/>
          <w:szCs w:val="24"/>
        </w:rPr>
        <w:t xml:space="preserve">our </w:t>
      </w:r>
      <w:r w:rsidR="007603C6" w:rsidRPr="007603C6">
        <w:rPr>
          <w:rFonts w:asciiTheme="minorHAnsi" w:hAnsiTheme="minorHAnsi"/>
          <w:b/>
          <w:color w:val="002060"/>
          <w:sz w:val="28"/>
          <w:szCs w:val="24"/>
        </w:rPr>
        <w:t>S</w:t>
      </w:r>
      <w:r w:rsidRPr="007603C6">
        <w:rPr>
          <w:rFonts w:asciiTheme="minorHAnsi" w:hAnsiTheme="minorHAnsi"/>
          <w:b/>
          <w:color w:val="002060"/>
          <w:sz w:val="28"/>
          <w:szCs w:val="24"/>
        </w:rPr>
        <w:t xml:space="preserve">tate’s </w:t>
      </w:r>
      <w:r w:rsidR="007603C6" w:rsidRPr="007603C6">
        <w:rPr>
          <w:rFonts w:asciiTheme="minorHAnsi" w:hAnsiTheme="minorHAnsi"/>
          <w:b/>
          <w:color w:val="002060"/>
          <w:sz w:val="28"/>
          <w:szCs w:val="24"/>
        </w:rPr>
        <w:t>R</w:t>
      </w:r>
      <w:r w:rsidRPr="007603C6">
        <w:rPr>
          <w:rFonts w:asciiTheme="minorHAnsi" w:hAnsiTheme="minorHAnsi"/>
          <w:b/>
          <w:color w:val="002060"/>
          <w:sz w:val="28"/>
          <w:szCs w:val="24"/>
        </w:rPr>
        <w:t xml:space="preserve">eport </w:t>
      </w:r>
      <w:r w:rsidR="007603C6" w:rsidRPr="007603C6">
        <w:rPr>
          <w:rFonts w:asciiTheme="minorHAnsi" w:hAnsiTheme="minorHAnsi"/>
          <w:b/>
          <w:color w:val="002060"/>
          <w:sz w:val="28"/>
          <w:szCs w:val="24"/>
        </w:rPr>
        <w:t>C</w:t>
      </w:r>
      <w:r w:rsidRPr="007603C6">
        <w:rPr>
          <w:rFonts w:asciiTheme="minorHAnsi" w:hAnsiTheme="minorHAnsi"/>
          <w:b/>
          <w:color w:val="002060"/>
          <w:sz w:val="28"/>
          <w:szCs w:val="24"/>
        </w:rPr>
        <w:t>ards</w:t>
      </w:r>
    </w:p>
    <w:p w:rsidR="00BE024C" w:rsidRPr="009A5068" w:rsidRDefault="00BE024C" w:rsidP="009A5068">
      <w:pPr>
        <w:spacing w:after="240" w:line="240" w:lineRule="auto"/>
        <w:rPr>
          <w:rFonts w:asciiTheme="minorHAnsi" w:hAnsiTheme="minorHAnsi"/>
          <w:b/>
          <w:i/>
          <w:szCs w:val="24"/>
        </w:rPr>
      </w:pPr>
      <w:r>
        <w:rPr>
          <w:rFonts w:asciiTheme="minorHAnsi" w:hAnsiTheme="minorHAnsi"/>
          <w:szCs w:val="24"/>
        </w:rPr>
        <w:t xml:space="preserve">The </w:t>
      </w:r>
      <w:r w:rsidRPr="004572E9">
        <w:rPr>
          <w:rFonts w:asciiTheme="minorHAnsi" w:hAnsiTheme="minorHAnsi"/>
          <w:i/>
        </w:rPr>
        <w:t>ESSA State and Local Report Cards Guidance Non-Regulatory Guidance</w:t>
      </w:r>
      <w:r>
        <w:rPr>
          <w:rFonts w:asciiTheme="minorHAnsi" w:hAnsiTheme="minorHAnsi"/>
        </w:rPr>
        <w:t xml:space="preserve"> provides a helpful checklist of all required elements of both state and local report cards in Appendix D. </w:t>
      </w:r>
      <w:hyperlink r:id="rId8" w:history="1">
        <w:r w:rsidRPr="005F1C8E">
          <w:rPr>
            <w:rStyle w:val="Hyperlink"/>
            <w:rFonts w:asciiTheme="minorHAnsi" w:hAnsiTheme="minorHAnsi"/>
          </w:rPr>
          <w:t>https://www2.ed.gov/policy/elsec/leg/essa/essastatereportcard.pdf</w:t>
        </w:r>
      </w:hyperlink>
    </w:p>
    <w:p w:rsidR="00B97107" w:rsidRPr="00B97107" w:rsidRDefault="00B97107" w:rsidP="00B97107">
      <w:pPr>
        <w:tabs>
          <w:tab w:val="right" w:pos="9360"/>
        </w:tabs>
        <w:spacing w:after="240" w:line="240" w:lineRule="auto"/>
        <w:rPr>
          <w:rFonts w:asciiTheme="minorHAnsi" w:hAnsiTheme="minorHAnsi"/>
          <w:szCs w:val="24"/>
          <w:u w:val="single"/>
        </w:rPr>
      </w:pPr>
    </w:p>
    <w:p w:rsidR="002C4B12" w:rsidRDefault="002C4B12">
      <w:pPr>
        <w:rPr>
          <w:rFonts w:asciiTheme="minorHAnsi" w:hAnsiTheme="minorHAnsi"/>
          <w:b/>
          <w:color w:val="000099"/>
          <w:sz w:val="28"/>
          <w:szCs w:val="28"/>
        </w:rPr>
      </w:pPr>
      <w:r>
        <w:rPr>
          <w:rFonts w:asciiTheme="minorHAnsi" w:hAnsiTheme="minorHAnsi"/>
          <w:b/>
          <w:color w:val="000099"/>
          <w:sz w:val="28"/>
          <w:szCs w:val="28"/>
        </w:rPr>
        <w:br w:type="page"/>
      </w:r>
    </w:p>
    <w:p w:rsidR="00BE024C" w:rsidRPr="007603C6" w:rsidRDefault="00BE024C" w:rsidP="009A5068">
      <w:pPr>
        <w:spacing w:after="240" w:line="240" w:lineRule="auto"/>
        <w:rPr>
          <w:rFonts w:asciiTheme="minorHAnsi" w:hAnsiTheme="minorHAnsi"/>
          <w:b/>
          <w:color w:val="002060"/>
          <w:sz w:val="28"/>
          <w:szCs w:val="28"/>
        </w:rPr>
      </w:pPr>
      <w:r w:rsidRPr="007603C6">
        <w:rPr>
          <w:rFonts w:asciiTheme="minorHAnsi" w:hAnsiTheme="minorHAnsi"/>
          <w:b/>
          <w:color w:val="002060"/>
          <w:sz w:val="28"/>
          <w:szCs w:val="28"/>
        </w:rPr>
        <w:lastRenderedPageBreak/>
        <w:t>Resources</w:t>
      </w:r>
    </w:p>
    <w:p w:rsidR="00BE024C" w:rsidRDefault="004572E9" w:rsidP="009A5068">
      <w:pPr>
        <w:spacing w:after="240" w:line="240" w:lineRule="auto"/>
        <w:outlineLvl w:val="0"/>
        <w:rPr>
          <w:rFonts w:asciiTheme="minorHAnsi" w:hAnsiTheme="minorHAnsi"/>
          <w:bCs/>
          <w:kern w:val="36"/>
          <w:szCs w:val="24"/>
        </w:rPr>
      </w:pPr>
      <w:r w:rsidRPr="004572E9">
        <w:rPr>
          <w:rFonts w:asciiTheme="minorHAnsi" w:hAnsiTheme="minorHAnsi"/>
          <w:b/>
          <w:bCs/>
          <w:i/>
          <w:kern w:val="36"/>
          <w:szCs w:val="24"/>
        </w:rPr>
        <w:t xml:space="preserve">Communicating </w:t>
      </w:r>
      <w:r w:rsidRPr="004572E9">
        <w:rPr>
          <w:rFonts w:asciiTheme="minorHAnsi" w:hAnsiTheme="minorHAnsi"/>
          <w:b/>
          <w:bCs/>
          <w:i/>
          <w:kern w:val="36"/>
          <w:szCs w:val="24"/>
        </w:rPr>
        <w:t>P</w:t>
      </w:r>
      <w:r w:rsidRPr="004572E9">
        <w:rPr>
          <w:rFonts w:asciiTheme="minorHAnsi" w:hAnsiTheme="minorHAnsi"/>
          <w:b/>
          <w:bCs/>
          <w:i/>
          <w:kern w:val="36"/>
          <w:szCs w:val="24"/>
        </w:rPr>
        <w:t xml:space="preserve">erformance: A </w:t>
      </w:r>
      <w:r w:rsidRPr="004572E9">
        <w:rPr>
          <w:rFonts w:asciiTheme="minorHAnsi" w:hAnsiTheme="minorHAnsi"/>
          <w:b/>
          <w:bCs/>
          <w:i/>
          <w:kern w:val="36"/>
          <w:szCs w:val="24"/>
        </w:rPr>
        <w:t>B</w:t>
      </w:r>
      <w:r w:rsidRPr="004572E9">
        <w:rPr>
          <w:rFonts w:asciiTheme="minorHAnsi" w:hAnsiTheme="minorHAnsi"/>
          <w:b/>
          <w:bCs/>
          <w:i/>
          <w:kern w:val="36"/>
          <w:szCs w:val="24"/>
        </w:rPr>
        <w:t xml:space="preserve">est </w:t>
      </w:r>
      <w:r w:rsidRPr="004572E9">
        <w:rPr>
          <w:rFonts w:asciiTheme="minorHAnsi" w:hAnsiTheme="minorHAnsi"/>
          <w:b/>
          <w:bCs/>
          <w:i/>
          <w:kern w:val="36"/>
          <w:szCs w:val="24"/>
        </w:rPr>
        <w:t>P</w:t>
      </w:r>
      <w:r w:rsidRPr="004572E9">
        <w:rPr>
          <w:rFonts w:asciiTheme="minorHAnsi" w:hAnsiTheme="minorHAnsi"/>
          <w:b/>
          <w:bCs/>
          <w:i/>
          <w:kern w:val="36"/>
          <w:szCs w:val="24"/>
        </w:rPr>
        <w:t xml:space="preserve">ractices </w:t>
      </w:r>
      <w:r w:rsidRPr="004572E9">
        <w:rPr>
          <w:rFonts w:asciiTheme="minorHAnsi" w:hAnsiTheme="minorHAnsi"/>
          <w:b/>
          <w:bCs/>
          <w:i/>
          <w:kern w:val="36"/>
          <w:szCs w:val="24"/>
        </w:rPr>
        <w:t>R</w:t>
      </w:r>
      <w:r w:rsidRPr="004572E9">
        <w:rPr>
          <w:rFonts w:asciiTheme="minorHAnsi" w:hAnsiTheme="minorHAnsi"/>
          <w:b/>
          <w:bCs/>
          <w:i/>
          <w:kern w:val="36"/>
          <w:szCs w:val="24"/>
        </w:rPr>
        <w:t xml:space="preserve">esource for </w:t>
      </w:r>
      <w:r w:rsidRPr="004572E9">
        <w:rPr>
          <w:rFonts w:asciiTheme="minorHAnsi" w:hAnsiTheme="minorHAnsi"/>
          <w:b/>
          <w:bCs/>
          <w:i/>
          <w:kern w:val="36"/>
          <w:szCs w:val="24"/>
        </w:rPr>
        <w:t>D</w:t>
      </w:r>
      <w:r w:rsidRPr="004572E9">
        <w:rPr>
          <w:rFonts w:asciiTheme="minorHAnsi" w:hAnsiTheme="minorHAnsi"/>
          <w:b/>
          <w:bCs/>
          <w:i/>
          <w:kern w:val="36"/>
          <w:szCs w:val="24"/>
        </w:rPr>
        <w:t xml:space="preserve">eveloping </w:t>
      </w:r>
      <w:r w:rsidRPr="004572E9">
        <w:rPr>
          <w:rFonts w:asciiTheme="minorHAnsi" w:hAnsiTheme="minorHAnsi"/>
          <w:b/>
          <w:bCs/>
          <w:i/>
          <w:kern w:val="36"/>
          <w:szCs w:val="24"/>
        </w:rPr>
        <w:t>S</w:t>
      </w:r>
      <w:r w:rsidRPr="004572E9">
        <w:rPr>
          <w:rFonts w:asciiTheme="minorHAnsi" w:hAnsiTheme="minorHAnsi"/>
          <w:b/>
          <w:bCs/>
          <w:i/>
          <w:kern w:val="36"/>
          <w:szCs w:val="24"/>
        </w:rPr>
        <w:t xml:space="preserve">tate </w:t>
      </w:r>
      <w:r w:rsidRPr="004572E9">
        <w:rPr>
          <w:rFonts w:asciiTheme="minorHAnsi" w:hAnsiTheme="minorHAnsi"/>
          <w:b/>
          <w:bCs/>
          <w:i/>
          <w:kern w:val="36"/>
          <w:szCs w:val="24"/>
        </w:rPr>
        <w:t>R</w:t>
      </w:r>
      <w:r w:rsidRPr="004572E9">
        <w:rPr>
          <w:rFonts w:asciiTheme="minorHAnsi" w:hAnsiTheme="minorHAnsi"/>
          <w:b/>
          <w:bCs/>
          <w:i/>
          <w:kern w:val="36"/>
          <w:szCs w:val="24"/>
        </w:rPr>
        <w:t xml:space="preserve">eport </w:t>
      </w:r>
      <w:r w:rsidRPr="004572E9">
        <w:rPr>
          <w:rFonts w:asciiTheme="minorHAnsi" w:hAnsiTheme="minorHAnsi"/>
          <w:b/>
          <w:bCs/>
          <w:i/>
          <w:kern w:val="36"/>
          <w:szCs w:val="24"/>
        </w:rPr>
        <w:t>C</w:t>
      </w:r>
      <w:r w:rsidRPr="004572E9">
        <w:rPr>
          <w:rFonts w:asciiTheme="minorHAnsi" w:hAnsiTheme="minorHAnsi"/>
          <w:b/>
          <w:bCs/>
          <w:i/>
          <w:kern w:val="36"/>
          <w:szCs w:val="24"/>
        </w:rPr>
        <w:t>ards</w:t>
      </w:r>
      <w:r>
        <w:rPr>
          <w:rFonts w:asciiTheme="minorHAnsi" w:hAnsiTheme="minorHAnsi"/>
          <w:bCs/>
          <w:kern w:val="36"/>
          <w:szCs w:val="24"/>
        </w:rPr>
        <w:t xml:space="preserve"> </w:t>
      </w:r>
      <w:r>
        <w:rPr>
          <w:rFonts w:asciiTheme="minorHAnsi" w:hAnsiTheme="minorHAnsi"/>
          <w:bCs/>
          <w:kern w:val="36"/>
          <w:szCs w:val="24"/>
        </w:rPr>
        <w:t xml:space="preserve">| </w:t>
      </w:r>
      <w:r w:rsidR="00BE024C">
        <w:rPr>
          <w:rFonts w:asciiTheme="minorHAnsi" w:hAnsiTheme="minorHAnsi"/>
          <w:bCs/>
          <w:kern w:val="36"/>
          <w:szCs w:val="24"/>
        </w:rPr>
        <w:t>Council of Chief State School Officers</w:t>
      </w:r>
      <w:r>
        <w:rPr>
          <w:rFonts w:asciiTheme="minorHAnsi" w:hAnsiTheme="minorHAnsi"/>
          <w:bCs/>
          <w:kern w:val="36"/>
          <w:szCs w:val="24"/>
        </w:rPr>
        <w:t>, 2017 (November 22).</w:t>
      </w:r>
      <w:r w:rsidR="00BE024C">
        <w:rPr>
          <w:rFonts w:asciiTheme="minorHAnsi" w:hAnsiTheme="minorHAnsi"/>
          <w:bCs/>
          <w:kern w:val="36"/>
          <w:szCs w:val="24"/>
        </w:rPr>
        <w:t xml:space="preserve"> </w:t>
      </w:r>
      <w:r>
        <w:rPr>
          <w:rFonts w:asciiTheme="minorHAnsi" w:hAnsiTheme="minorHAnsi"/>
          <w:bCs/>
          <w:kern w:val="36"/>
          <w:szCs w:val="24"/>
        </w:rPr>
        <w:t xml:space="preserve">Online at: </w:t>
      </w:r>
      <w:r w:rsidR="00BE024C">
        <w:rPr>
          <w:rFonts w:asciiTheme="minorHAnsi" w:hAnsiTheme="minorHAnsi"/>
          <w:bCs/>
          <w:kern w:val="36"/>
          <w:szCs w:val="24"/>
        </w:rPr>
        <w:t xml:space="preserve"> </w:t>
      </w:r>
      <w:hyperlink r:id="rId9" w:history="1">
        <w:r w:rsidR="00BE024C" w:rsidRPr="00747944">
          <w:rPr>
            <w:rStyle w:val="Hyperlink"/>
            <w:rFonts w:asciiTheme="minorHAnsi" w:hAnsiTheme="minorHAnsi"/>
            <w:bCs/>
            <w:kern w:val="36"/>
            <w:szCs w:val="24"/>
          </w:rPr>
          <w:t>https://www.ccsso.org/resource-library/communicating-performance-best-practices-resource-developing-state-report-cards</w:t>
        </w:r>
      </w:hyperlink>
      <w:r w:rsidR="00BE024C">
        <w:rPr>
          <w:rFonts w:asciiTheme="minorHAnsi" w:hAnsiTheme="minorHAnsi"/>
          <w:bCs/>
          <w:kern w:val="36"/>
          <w:szCs w:val="24"/>
        </w:rPr>
        <w:t xml:space="preserve"> </w:t>
      </w:r>
    </w:p>
    <w:p w:rsidR="00BE024C" w:rsidRPr="001F14D6" w:rsidRDefault="00BE024C" w:rsidP="001F14D6">
      <w:pPr>
        <w:rPr>
          <w:rFonts w:asciiTheme="minorHAnsi" w:hAnsiTheme="minorHAnsi" w:cstheme="minorHAnsi"/>
          <w:sz w:val="27"/>
        </w:rPr>
      </w:pPr>
      <w:r w:rsidRPr="001F14D6">
        <w:rPr>
          <w:rFonts w:asciiTheme="minorHAnsi" w:hAnsiTheme="minorHAnsi" w:cstheme="minorHAnsi"/>
          <w:b/>
          <w:i/>
        </w:rPr>
        <w:t xml:space="preserve">Show </w:t>
      </w:r>
      <w:r w:rsidR="004572E9" w:rsidRPr="001F14D6">
        <w:rPr>
          <w:rFonts w:asciiTheme="minorHAnsi" w:hAnsiTheme="minorHAnsi" w:cstheme="minorHAnsi"/>
          <w:b/>
          <w:i/>
        </w:rPr>
        <w:t>M</w:t>
      </w:r>
      <w:r w:rsidRPr="001F14D6">
        <w:rPr>
          <w:rFonts w:asciiTheme="minorHAnsi" w:hAnsiTheme="minorHAnsi" w:cstheme="minorHAnsi"/>
          <w:b/>
          <w:i/>
        </w:rPr>
        <w:t xml:space="preserve">e the </w:t>
      </w:r>
      <w:r w:rsidR="004572E9" w:rsidRPr="001F14D6">
        <w:rPr>
          <w:rFonts w:asciiTheme="minorHAnsi" w:hAnsiTheme="minorHAnsi" w:cstheme="minorHAnsi"/>
          <w:b/>
          <w:i/>
        </w:rPr>
        <w:t>D</w:t>
      </w:r>
      <w:r w:rsidRPr="001F14D6">
        <w:rPr>
          <w:rFonts w:asciiTheme="minorHAnsi" w:hAnsiTheme="minorHAnsi" w:cstheme="minorHAnsi"/>
          <w:b/>
          <w:i/>
        </w:rPr>
        <w:t xml:space="preserve">ata 2017: States </w:t>
      </w:r>
      <w:r w:rsidR="004572E9" w:rsidRPr="001F14D6">
        <w:rPr>
          <w:rFonts w:asciiTheme="minorHAnsi" w:hAnsiTheme="minorHAnsi" w:cstheme="minorHAnsi"/>
          <w:b/>
          <w:i/>
        </w:rPr>
        <w:t>C</w:t>
      </w:r>
      <w:r w:rsidRPr="001F14D6">
        <w:rPr>
          <w:rFonts w:asciiTheme="minorHAnsi" w:hAnsiTheme="minorHAnsi" w:cstheme="minorHAnsi"/>
          <w:b/>
          <w:i/>
        </w:rPr>
        <w:t xml:space="preserve">an </w:t>
      </w:r>
      <w:r w:rsidR="004572E9" w:rsidRPr="001F14D6">
        <w:rPr>
          <w:rFonts w:asciiTheme="minorHAnsi" w:hAnsiTheme="minorHAnsi" w:cstheme="minorHAnsi"/>
          <w:b/>
          <w:i/>
        </w:rPr>
        <w:t>I</w:t>
      </w:r>
      <w:r w:rsidRPr="001F14D6">
        <w:rPr>
          <w:rFonts w:asciiTheme="minorHAnsi" w:hAnsiTheme="minorHAnsi" w:cstheme="minorHAnsi"/>
          <w:b/>
          <w:i/>
        </w:rPr>
        <w:t xml:space="preserve">mprove </w:t>
      </w:r>
      <w:r w:rsidR="004572E9" w:rsidRPr="001F14D6">
        <w:rPr>
          <w:rFonts w:asciiTheme="minorHAnsi" w:hAnsiTheme="minorHAnsi" w:cstheme="minorHAnsi"/>
          <w:b/>
          <w:i/>
        </w:rPr>
        <w:t>R</w:t>
      </w:r>
      <w:r w:rsidRPr="001F14D6">
        <w:rPr>
          <w:rFonts w:asciiTheme="minorHAnsi" w:hAnsiTheme="minorHAnsi" w:cstheme="minorHAnsi"/>
          <w:b/>
          <w:i/>
        </w:rPr>
        <w:t xml:space="preserve">eport </w:t>
      </w:r>
      <w:r w:rsidR="004572E9" w:rsidRPr="001F14D6">
        <w:rPr>
          <w:rFonts w:asciiTheme="minorHAnsi" w:hAnsiTheme="minorHAnsi" w:cstheme="minorHAnsi"/>
          <w:b/>
          <w:i/>
        </w:rPr>
        <w:t>C</w:t>
      </w:r>
      <w:r w:rsidRPr="001F14D6">
        <w:rPr>
          <w:rFonts w:asciiTheme="minorHAnsi" w:hAnsiTheme="minorHAnsi" w:cstheme="minorHAnsi"/>
          <w:b/>
          <w:i/>
        </w:rPr>
        <w:t>ards </w:t>
      </w:r>
      <w:r w:rsidR="004572E9" w:rsidRPr="001F14D6">
        <w:rPr>
          <w:rStyle w:val="Emphasis"/>
          <w:rFonts w:asciiTheme="minorHAnsi" w:hAnsiTheme="minorHAnsi" w:cstheme="minorHAnsi"/>
          <w:b/>
          <w:i w:val="0"/>
        </w:rPr>
        <w:t>Th</w:t>
      </w:r>
      <w:r w:rsidRPr="001F14D6">
        <w:rPr>
          <w:rStyle w:val="Emphasis"/>
          <w:rFonts w:asciiTheme="minorHAnsi" w:hAnsiTheme="minorHAnsi" w:cstheme="minorHAnsi"/>
          <w:b/>
          <w:i w:val="0"/>
        </w:rPr>
        <w:t xml:space="preserve">is </w:t>
      </w:r>
      <w:r w:rsidR="004572E9" w:rsidRPr="001F14D6">
        <w:rPr>
          <w:rStyle w:val="Emphasis"/>
          <w:rFonts w:asciiTheme="minorHAnsi" w:hAnsiTheme="minorHAnsi" w:cstheme="minorHAnsi"/>
          <w:b/>
          <w:i w:val="0"/>
        </w:rPr>
        <w:t>Y</w:t>
      </w:r>
      <w:r w:rsidRPr="001F14D6">
        <w:rPr>
          <w:rStyle w:val="Emphasis"/>
          <w:rFonts w:asciiTheme="minorHAnsi" w:hAnsiTheme="minorHAnsi" w:cstheme="minorHAnsi"/>
          <w:b/>
          <w:i w:val="0"/>
        </w:rPr>
        <w:t>ear</w:t>
      </w:r>
      <w:r w:rsidR="004572E9" w:rsidRPr="001F14D6">
        <w:rPr>
          <w:rStyle w:val="Emphasis"/>
          <w:rFonts w:asciiTheme="minorHAnsi" w:hAnsiTheme="minorHAnsi" w:cstheme="minorHAnsi"/>
          <w:i w:val="0"/>
        </w:rPr>
        <w:t xml:space="preserve"> | </w:t>
      </w:r>
      <w:r w:rsidR="004572E9" w:rsidRPr="001F14D6">
        <w:rPr>
          <w:rFonts w:asciiTheme="minorHAnsi" w:hAnsiTheme="minorHAnsi" w:cstheme="minorHAnsi"/>
        </w:rPr>
        <w:t xml:space="preserve">Data Quality Campaign. </w:t>
      </w:r>
      <w:r w:rsidR="004572E9" w:rsidRPr="001F14D6">
        <w:rPr>
          <w:rStyle w:val="Emphasis"/>
          <w:rFonts w:asciiTheme="minorHAnsi" w:hAnsiTheme="minorHAnsi" w:cstheme="minorHAnsi"/>
          <w:i w:val="0"/>
        </w:rPr>
        <w:t>Online at:</w:t>
      </w:r>
      <w:r w:rsidRPr="001F14D6">
        <w:rPr>
          <w:rStyle w:val="Emphasis"/>
          <w:rFonts w:asciiTheme="minorHAnsi" w:hAnsiTheme="minorHAnsi" w:cstheme="minorHAnsi"/>
        </w:rPr>
        <w:t xml:space="preserve"> </w:t>
      </w:r>
      <w:hyperlink r:id="rId10" w:history="1">
        <w:r w:rsidRPr="001F14D6">
          <w:rPr>
            <w:rStyle w:val="Hyperlink"/>
            <w:rFonts w:asciiTheme="minorHAnsi" w:hAnsiTheme="minorHAnsi" w:cstheme="minorHAnsi"/>
          </w:rPr>
          <w:t>https://dataqualitycampaign.org/showmethedata/</w:t>
        </w:r>
      </w:hyperlink>
      <w:r w:rsidRPr="001F14D6">
        <w:rPr>
          <w:rStyle w:val="Emphasis"/>
          <w:rFonts w:asciiTheme="minorHAnsi" w:hAnsiTheme="minorHAnsi" w:cstheme="minorHAnsi"/>
        </w:rPr>
        <w:t xml:space="preserve"> </w:t>
      </w:r>
    </w:p>
    <w:p w:rsidR="00BE024C" w:rsidRPr="00A6715D" w:rsidRDefault="004572E9" w:rsidP="009A5068">
      <w:pPr>
        <w:pStyle w:val="Default"/>
        <w:spacing w:after="240"/>
        <w:rPr>
          <w:rFonts w:asciiTheme="minorHAnsi" w:hAnsiTheme="minorHAnsi"/>
          <w:color w:val="0000FF"/>
        </w:rPr>
      </w:pPr>
      <w:r w:rsidRPr="004572E9">
        <w:rPr>
          <w:rFonts w:asciiTheme="minorHAnsi" w:hAnsiTheme="minorHAnsi"/>
          <w:b/>
          <w:i/>
        </w:rPr>
        <w:t xml:space="preserve">School Report Cards </w:t>
      </w:r>
      <w:r w:rsidRPr="004572E9">
        <w:rPr>
          <w:rFonts w:asciiTheme="minorHAnsi" w:hAnsiTheme="minorHAnsi"/>
          <w:b/>
          <w:i/>
        </w:rPr>
        <w:t>D</w:t>
      </w:r>
      <w:r w:rsidRPr="004572E9">
        <w:rPr>
          <w:rFonts w:asciiTheme="minorHAnsi" w:hAnsiTheme="minorHAnsi"/>
          <w:b/>
          <w:i/>
        </w:rPr>
        <w:t xml:space="preserve">o </w:t>
      </w:r>
      <w:r w:rsidRPr="004572E9">
        <w:rPr>
          <w:rFonts w:asciiTheme="minorHAnsi" w:hAnsiTheme="minorHAnsi"/>
          <w:b/>
          <w:i/>
        </w:rPr>
        <w:t>N</w:t>
      </w:r>
      <w:r w:rsidRPr="004572E9">
        <w:rPr>
          <w:rFonts w:asciiTheme="minorHAnsi" w:hAnsiTheme="minorHAnsi"/>
          <w:b/>
          <w:i/>
        </w:rPr>
        <w:t>ot Matter if Parents Can’t Find Them</w:t>
      </w:r>
      <w:r>
        <w:rPr>
          <w:rFonts w:asciiTheme="minorHAnsi" w:hAnsiTheme="minorHAnsi"/>
        </w:rPr>
        <w:t xml:space="preserve"> | </w:t>
      </w:r>
      <w:r w:rsidR="00BE024C" w:rsidRPr="007B4F62">
        <w:rPr>
          <w:rFonts w:asciiTheme="minorHAnsi" w:hAnsiTheme="minorHAnsi"/>
        </w:rPr>
        <w:t>Fordham Institute</w:t>
      </w:r>
      <w:r>
        <w:rPr>
          <w:rFonts w:asciiTheme="minorHAnsi" w:hAnsiTheme="minorHAnsi"/>
        </w:rPr>
        <w:t xml:space="preserve">. Online at: </w:t>
      </w:r>
      <w:hyperlink r:id="rId11" w:history="1">
        <w:r w:rsidR="00FB2ADA" w:rsidRPr="00FB2ADA">
          <w:rPr>
            <w:rStyle w:val="Hyperlink"/>
            <w:rFonts w:asciiTheme="minorHAnsi" w:hAnsiTheme="minorHAnsi"/>
          </w:rPr>
          <w:t>https://edexcellence.net/articles/school-report-cards-dont-matter-if-parents-cant-find-them</w:t>
        </w:r>
      </w:hyperlink>
    </w:p>
    <w:p w:rsidR="00021FCD" w:rsidRDefault="004572E9" w:rsidP="002C4B12">
      <w:pPr>
        <w:spacing w:after="240" w:line="240" w:lineRule="auto"/>
        <w:outlineLvl w:val="0"/>
        <w:rPr>
          <w:rFonts w:asciiTheme="minorHAnsi" w:hAnsiTheme="minorHAnsi"/>
        </w:rPr>
      </w:pPr>
      <w:r w:rsidRPr="004572E9">
        <w:rPr>
          <w:rFonts w:asciiTheme="minorHAnsi" w:hAnsiTheme="minorHAnsi"/>
          <w:b/>
          <w:i/>
        </w:rPr>
        <w:t xml:space="preserve">Webinar: </w:t>
      </w:r>
      <w:r w:rsidRPr="004572E9">
        <w:rPr>
          <w:rFonts w:asciiTheme="minorHAnsi" w:hAnsiTheme="minorHAnsi"/>
          <w:b/>
          <w:i/>
        </w:rPr>
        <w:t>What Makes a Good ESSA Report Card</w:t>
      </w:r>
      <w:r w:rsidRPr="004572E9">
        <w:rPr>
          <w:rFonts w:asciiTheme="minorHAnsi" w:hAnsiTheme="minorHAnsi"/>
          <w:b/>
        </w:rPr>
        <w:t xml:space="preserve"> </w:t>
      </w:r>
      <w:r>
        <w:rPr>
          <w:rFonts w:asciiTheme="minorHAnsi" w:hAnsiTheme="minorHAnsi"/>
        </w:rPr>
        <w:t>|</w:t>
      </w:r>
      <w:r w:rsidRPr="0041506A">
        <w:rPr>
          <w:rFonts w:asciiTheme="minorHAnsi" w:hAnsiTheme="minorHAnsi"/>
        </w:rPr>
        <w:t xml:space="preserve"> </w:t>
      </w:r>
      <w:r w:rsidR="00BE024C" w:rsidRPr="0041506A">
        <w:rPr>
          <w:rFonts w:asciiTheme="minorHAnsi" w:hAnsiTheme="minorHAnsi"/>
        </w:rPr>
        <w:t>National PTA and Learning Heroes</w:t>
      </w:r>
      <w:r>
        <w:rPr>
          <w:rFonts w:asciiTheme="minorHAnsi" w:hAnsiTheme="minorHAnsi"/>
        </w:rPr>
        <w:t xml:space="preserve">. Online at: </w:t>
      </w:r>
      <w:hyperlink r:id="rId12" w:history="1">
        <w:r w:rsidR="00BE024C" w:rsidRPr="0041506A">
          <w:rPr>
            <w:rStyle w:val="Hyperlink"/>
            <w:rFonts w:asciiTheme="minorHAnsi" w:hAnsiTheme="minorHAnsi"/>
          </w:rPr>
          <w:t>https://www.pta.org/docs/default-source/uploadedfiles/Advocacy/lh-and-national-pta-what-makes-a-good-essa-report-card-webinar</w:t>
        </w:r>
      </w:hyperlink>
      <w:r w:rsidR="00BE024C" w:rsidRPr="0041506A">
        <w:rPr>
          <w:rFonts w:asciiTheme="minorHAnsi" w:hAnsiTheme="minorHAnsi"/>
        </w:rPr>
        <w:t xml:space="preserve"> </w:t>
      </w:r>
      <w:r w:rsidR="00BE024C">
        <w:rPr>
          <w:rFonts w:asciiTheme="minorHAnsi" w:hAnsiTheme="minorHAnsi"/>
        </w:rPr>
        <w:t xml:space="preserve"> </w:t>
      </w:r>
    </w:p>
    <w:p w:rsidR="00BE024C" w:rsidRDefault="004572E9" w:rsidP="009A5068">
      <w:pPr>
        <w:spacing w:after="240" w:line="240" w:lineRule="auto"/>
        <w:outlineLvl w:val="0"/>
        <w:rPr>
          <w:rFonts w:asciiTheme="minorHAnsi" w:hAnsiTheme="minorHAnsi"/>
        </w:rPr>
      </w:pPr>
      <w:r w:rsidRPr="004572E9">
        <w:rPr>
          <w:rFonts w:asciiTheme="minorHAnsi" w:hAnsiTheme="minorHAnsi"/>
          <w:b/>
          <w:i/>
        </w:rPr>
        <w:t>3 Ways to Engage in New ESSA Report Cards</w:t>
      </w:r>
      <w:r w:rsidRPr="000B1499">
        <w:rPr>
          <w:rFonts w:asciiTheme="minorHAnsi" w:hAnsiTheme="minorHAnsi"/>
        </w:rPr>
        <w:t xml:space="preserve"> </w:t>
      </w:r>
      <w:r>
        <w:rPr>
          <w:rFonts w:asciiTheme="minorHAnsi" w:hAnsiTheme="minorHAnsi"/>
        </w:rPr>
        <w:t xml:space="preserve">| </w:t>
      </w:r>
      <w:r w:rsidR="00BE024C" w:rsidRPr="000B1499">
        <w:rPr>
          <w:rFonts w:asciiTheme="minorHAnsi" w:hAnsiTheme="minorHAnsi"/>
        </w:rPr>
        <w:t>National PTA</w:t>
      </w:r>
      <w:r>
        <w:rPr>
          <w:rFonts w:asciiTheme="minorHAnsi" w:hAnsiTheme="minorHAnsi"/>
        </w:rPr>
        <w:t>. Online at:</w:t>
      </w:r>
      <w:r w:rsidR="00BE024C" w:rsidRPr="000B1499">
        <w:rPr>
          <w:rFonts w:asciiTheme="minorHAnsi" w:hAnsiTheme="minorHAnsi"/>
        </w:rPr>
        <w:t xml:space="preserve"> </w:t>
      </w:r>
      <w:hyperlink r:id="rId13" w:history="1">
        <w:r w:rsidR="00BE024C" w:rsidRPr="00B421FC">
          <w:rPr>
            <w:rStyle w:val="Hyperlink"/>
            <w:rFonts w:asciiTheme="minorHAnsi" w:hAnsiTheme="minorHAnsi"/>
          </w:rPr>
          <w:t>https://www.pta.org/docs/default-source/uploadedfiles/Advocacy/3-ways-to-engage-in-new-essa-report-cards</w:t>
        </w:r>
      </w:hyperlink>
      <w:r w:rsidR="00BE024C">
        <w:rPr>
          <w:rFonts w:asciiTheme="minorHAnsi" w:hAnsiTheme="minorHAnsi"/>
        </w:rPr>
        <w:t xml:space="preserve"> </w:t>
      </w:r>
    </w:p>
    <w:p w:rsidR="00707F4F" w:rsidRDefault="004572E9" w:rsidP="00021FCD">
      <w:pPr>
        <w:spacing w:after="240" w:line="240" w:lineRule="auto"/>
        <w:rPr>
          <w:rFonts w:asciiTheme="minorHAnsi" w:hAnsiTheme="minorHAnsi"/>
        </w:rPr>
      </w:pPr>
      <w:r w:rsidRPr="004572E9">
        <w:rPr>
          <w:rFonts w:asciiTheme="minorHAnsi" w:hAnsiTheme="minorHAnsi"/>
          <w:b/>
          <w:i/>
        </w:rPr>
        <w:t>ESSA State and Local Report Cards Guidance Non-Regulatory Guidance</w:t>
      </w:r>
      <w:r>
        <w:rPr>
          <w:rFonts w:asciiTheme="minorHAnsi" w:hAnsiTheme="minorHAnsi"/>
        </w:rPr>
        <w:t xml:space="preserve"> </w:t>
      </w:r>
      <w:r>
        <w:rPr>
          <w:rFonts w:asciiTheme="minorHAnsi" w:hAnsiTheme="minorHAnsi"/>
        </w:rPr>
        <w:t xml:space="preserve">| </w:t>
      </w:r>
      <w:r w:rsidR="00BE024C">
        <w:rPr>
          <w:rFonts w:asciiTheme="minorHAnsi" w:hAnsiTheme="minorHAnsi"/>
        </w:rPr>
        <w:t>U.S. Department of Education (January 2017</w:t>
      </w:r>
      <w:r>
        <w:rPr>
          <w:rFonts w:asciiTheme="minorHAnsi" w:hAnsiTheme="minorHAnsi"/>
        </w:rPr>
        <w:t xml:space="preserve">). Online at: </w:t>
      </w:r>
      <w:hyperlink r:id="rId14" w:history="1">
        <w:r w:rsidR="00BE024C" w:rsidRPr="005F1C8E">
          <w:rPr>
            <w:rStyle w:val="Hyperlink"/>
            <w:rFonts w:asciiTheme="minorHAnsi" w:hAnsiTheme="minorHAnsi"/>
          </w:rPr>
          <w:t>https://www2.ed.gov/policy/elsec/leg/essa/essastatereportcard.pdf</w:t>
        </w:r>
      </w:hyperlink>
      <w:r w:rsidR="00BE024C" w:rsidRPr="005F1C8E">
        <w:rPr>
          <w:rFonts w:asciiTheme="minorHAnsi" w:hAnsiTheme="minorHAnsi"/>
        </w:rPr>
        <w:t xml:space="preserve"> </w:t>
      </w:r>
    </w:p>
    <w:p w:rsidR="0084638E" w:rsidRPr="00BE024C" w:rsidRDefault="003939A2" w:rsidP="009A5068">
      <w:pPr>
        <w:autoSpaceDE w:val="0"/>
        <w:autoSpaceDN w:val="0"/>
        <w:adjustRightInd w:val="0"/>
        <w:spacing w:after="240" w:line="240" w:lineRule="auto"/>
        <w:rPr>
          <w:rFonts w:asciiTheme="minorHAnsi" w:hAnsiTheme="minorHAnsi"/>
          <w:szCs w:val="24"/>
        </w:rPr>
      </w:pPr>
      <w:r w:rsidRPr="003939A2">
        <w:rPr>
          <w:rFonts w:asciiTheme="minorHAnsi" w:hAnsiTheme="minorHAnsi"/>
          <w:b/>
          <w:i/>
        </w:rPr>
        <w:t>ESSA Dear Colleague Letter on Delayed Reporting of Per-Pupil Expenditures</w:t>
      </w:r>
      <w:r>
        <w:rPr>
          <w:rFonts w:asciiTheme="minorHAnsi" w:hAnsiTheme="minorHAnsi"/>
        </w:rPr>
        <w:t xml:space="preserve"> | </w:t>
      </w:r>
      <w:r w:rsidR="00BE024C">
        <w:rPr>
          <w:rFonts w:asciiTheme="minorHAnsi" w:hAnsiTheme="minorHAnsi"/>
        </w:rPr>
        <w:t>U.S. Department of Education</w:t>
      </w:r>
      <w:r w:rsidR="00BE024C">
        <w:rPr>
          <w:rFonts w:asciiTheme="minorHAnsi" w:hAnsiTheme="minorHAnsi"/>
          <w:szCs w:val="24"/>
        </w:rPr>
        <w:t xml:space="preserve"> </w:t>
      </w:r>
      <w:r w:rsidR="00BE024C" w:rsidRPr="00AB1B10">
        <w:rPr>
          <w:rFonts w:asciiTheme="minorHAnsi" w:hAnsiTheme="minorHAnsi"/>
          <w:szCs w:val="24"/>
        </w:rPr>
        <w:t xml:space="preserve">(June 28, 2017) </w:t>
      </w:r>
      <w:r>
        <w:rPr>
          <w:rFonts w:asciiTheme="minorHAnsi" w:hAnsiTheme="minorHAnsi"/>
          <w:szCs w:val="24"/>
        </w:rPr>
        <w:t xml:space="preserve">| Letter </w:t>
      </w:r>
      <w:r w:rsidR="00BE024C" w:rsidRPr="00AB1B10">
        <w:rPr>
          <w:rFonts w:asciiTheme="minorHAnsi" w:hAnsiTheme="minorHAnsi"/>
          <w:szCs w:val="24"/>
        </w:rPr>
        <w:t>allow</w:t>
      </w:r>
      <w:r>
        <w:rPr>
          <w:rFonts w:asciiTheme="minorHAnsi" w:hAnsiTheme="minorHAnsi"/>
          <w:szCs w:val="24"/>
        </w:rPr>
        <w:t>s</w:t>
      </w:r>
      <w:r w:rsidR="00BE024C" w:rsidRPr="00AB1B10">
        <w:rPr>
          <w:rFonts w:asciiTheme="minorHAnsi" w:hAnsiTheme="minorHAnsi"/>
          <w:szCs w:val="24"/>
        </w:rPr>
        <w:t xml:space="preserve"> an SEA and its LEAs to delay</w:t>
      </w:r>
      <w:r>
        <w:rPr>
          <w:rFonts w:asciiTheme="minorHAnsi" w:hAnsiTheme="minorHAnsi"/>
          <w:szCs w:val="24"/>
        </w:rPr>
        <w:t xml:space="preserve"> </w:t>
      </w:r>
      <w:r w:rsidRPr="00AB1B10">
        <w:rPr>
          <w:rFonts w:asciiTheme="minorHAnsi" w:hAnsiTheme="minorHAnsi"/>
          <w:szCs w:val="24"/>
        </w:rPr>
        <w:t>until the 2018-2019 school year</w:t>
      </w:r>
      <w:r>
        <w:rPr>
          <w:rFonts w:asciiTheme="minorHAnsi" w:hAnsiTheme="minorHAnsi"/>
          <w:szCs w:val="24"/>
        </w:rPr>
        <w:t xml:space="preserve"> ESSA’s requirement to</w:t>
      </w:r>
      <w:r w:rsidRPr="00AB1B10">
        <w:rPr>
          <w:rFonts w:asciiTheme="minorHAnsi" w:hAnsiTheme="minorHAnsi"/>
          <w:szCs w:val="24"/>
        </w:rPr>
        <w:t xml:space="preserve"> </w:t>
      </w:r>
      <w:r w:rsidR="00BE024C" w:rsidRPr="00AB1B10">
        <w:rPr>
          <w:rFonts w:asciiTheme="minorHAnsi" w:hAnsiTheme="minorHAnsi"/>
          <w:szCs w:val="24"/>
        </w:rPr>
        <w:t xml:space="preserve">report information on per-pupil expenditures of Federal, State, and local funds on annual report </w:t>
      </w:r>
      <w:r>
        <w:rPr>
          <w:rFonts w:asciiTheme="minorHAnsi" w:hAnsiTheme="minorHAnsi"/>
          <w:szCs w:val="24"/>
        </w:rPr>
        <w:t>cards. Online at:</w:t>
      </w:r>
      <w:r w:rsidR="00BE024C" w:rsidRPr="00AB1B10">
        <w:rPr>
          <w:rFonts w:asciiTheme="minorHAnsi" w:hAnsiTheme="minorHAnsi"/>
          <w:szCs w:val="24"/>
        </w:rPr>
        <w:t xml:space="preserve"> </w:t>
      </w:r>
      <w:hyperlink r:id="rId15" w:history="1">
        <w:r w:rsidR="00BE024C" w:rsidRPr="00AB1B10">
          <w:rPr>
            <w:rStyle w:val="Hyperlink"/>
            <w:rFonts w:asciiTheme="minorHAnsi" w:hAnsiTheme="minorHAnsi"/>
            <w:szCs w:val="24"/>
          </w:rPr>
          <w:t>https://www2.ed.gov/policy/elsec/leg/essa/perpupilreqltr.pdf</w:t>
        </w:r>
      </w:hyperlink>
      <w:r w:rsidR="00BE024C" w:rsidRPr="00AB1B10">
        <w:rPr>
          <w:rFonts w:asciiTheme="minorHAnsi" w:hAnsiTheme="minorHAnsi"/>
          <w:szCs w:val="24"/>
        </w:rPr>
        <w:t xml:space="preserve"> </w:t>
      </w:r>
      <w:r w:rsidR="00BE024C">
        <w:rPr>
          <w:rFonts w:asciiTheme="minorHAnsi" w:hAnsiTheme="minorHAnsi"/>
          <w:szCs w:val="24"/>
        </w:rPr>
        <w:t xml:space="preserve"> </w:t>
      </w:r>
    </w:p>
    <w:p w:rsidR="00135F4A" w:rsidRDefault="00135F4A" w:rsidP="009A5068">
      <w:pPr>
        <w:pStyle w:val="Default"/>
        <w:spacing w:after="240"/>
        <w:rPr>
          <w:rFonts w:ascii="Source Sans Pro" w:hAnsi="Source Sans Pro" w:cs="Source Sans Pro"/>
          <w:i/>
          <w:color w:val="auto"/>
          <w:sz w:val="18"/>
          <w:szCs w:val="20"/>
        </w:rPr>
      </w:pPr>
    </w:p>
    <w:p w:rsidR="0084638E" w:rsidRDefault="00413519" w:rsidP="00135F4A">
      <w:pPr>
        <w:pStyle w:val="Default"/>
        <w:spacing w:after="120"/>
        <w:rPr>
          <w:rFonts w:ascii="Source Sans Pro" w:hAnsi="Source Sans Pro" w:cs="Source Sans Pro"/>
          <w:i/>
          <w:color w:val="auto"/>
          <w:sz w:val="18"/>
          <w:szCs w:val="20"/>
        </w:rPr>
      </w:pPr>
      <w:r>
        <w:rPr>
          <w:rFonts w:ascii="Source Sans Pro" w:hAnsi="Source Sans Pro" w:cs="Source Sans Pro"/>
          <w:i/>
          <w:color w:val="auto"/>
          <w:sz w:val="18"/>
          <w:szCs w:val="20"/>
        </w:rPr>
        <w:t>This fact sheet was produced in partnership between the Center for Parent Information and Resources and The Advocacy Institute under the U.S. Department of Education, Office of Special Education Pro</w:t>
      </w:r>
      <w:bookmarkStart w:id="0" w:name="_GoBack"/>
      <w:bookmarkEnd w:id="0"/>
      <w:r>
        <w:rPr>
          <w:rFonts w:ascii="Source Sans Pro" w:hAnsi="Source Sans Pro" w:cs="Source Sans Pro"/>
          <w:i/>
          <w:color w:val="auto"/>
          <w:sz w:val="18"/>
          <w:szCs w:val="20"/>
        </w:rPr>
        <w:t xml:space="preserve">grams No. H328R130014. The views expressed herein do not necessarily represent the positions or policies of the Department of Education. No official endorsement by the U.S. Department of Education of any product, commodity, service, or enterprise mentioned herein is intended or should be inferred.  </w:t>
      </w:r>
    </w:p>
    <w:p w:rsidR="0084638E" w:rsidRDefault="00413519" w:rsidP="009A5068">
      <w:pPr>
        <w:pStyle w:val="Default"/>
        <w:spacing w:after="240"/>
        <w:rPr>
          <w:rFonts w:ascii="Source Sans Pro" w:hAnsi="Source Sans Pro"/>
          <w:i/>
          <w:color w:val="auto"/>
          <w:sz w:val="18"/>
          <w:szCs w:val="20"/>
        </w:rPr>
      </w:pPr>
      <w:r>
        <w:rPr>
          <w:rFonts w:ascii="Source Sans Pro" w:hAnsi="Source Sans Pro" w:cs="Source Sans Pro"/>
          <w:i/>
          <w:color w:val="auto"/>
          <w:sz w:val="18"/>
          <w:szCs w:val="20"/>
        </w:rPr>
        <w:t>This product is</w:t>
      </w:r>
      <w:r w:rsidR="00135F4A">
        <w:rPr>
          <w:rFonts w:ascii="Source Sans Pro" w:hAnsi="Source Sans Pro" w:cs="Source Sans Pro"/>
          <w:i/>
          <w:color w:val="auto"/>
          <w:sz w:val="18"/>
          <w:szCs w:val="20"/>
        </w:rPr>
        <w:t xml:space="preserve"> in the</w:t>
      </w:r>
      <w:r>
        <w:rPr>
          <w:rFonts w:ascii="Source Sans Pro" w:hAnsi="Source Sans Pro" w:cs="Source Sans Pro"/>
          <w:i/>
          <w:color w:val="auto"/>
          <w:sz w:val="18"/>
          <w:szCs w:val="20"/>
        </w:rPr>
        <w:t xml:space="preserve"> public domain. Authorization to reproduce it in whole or in part is granted. While permission to reprint this material is not necessary, the citation should be: Center for Parent Information and Resources (retrieval date). Title of the document, Newark, NJ, Author. </w:t>
      </w:r>
    </w:p>
    <w:sectPr w:rsidR="0084638E" w:rsidSect="00295951">
      <w:headerReference w:type="default" r:id="rId16"/>
      <w:footerReference w:type="default" r:id="rId17"/>
      <w:type w:val="nextColumn"/>
      <w:pgSz w:w="12240" w:h="15840"/>
      <w:pgMar w:top="2520" w:right="1584" w:bottom="187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868" w:rsidRDefault="00570868">
      <w:pPr>
        <w:spacing w:after="0" w:line="240" w:lineRule="auto"/>
      </w:pPr>
      <w:r>
        <w:separator/>
      </w:r>
    </w:p>
  </w:endnote>
  <w:endnote w:type="continuationSeparator" w:id="0">
    <w:p w:rsidR="00570868" w:rsidRDefault="0057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atic SC">
    <w:altName w:val="Amatic Smallcap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Gadugi">
    <w:altName w:val="Gadugi"/>
    <w:panose1 w:val="020B0502040204020203"/>
    <w:charset w:val="00"/>
    <w:family w:val="swiss"/>
    <w:pitch w:val="variable"/>
    <w:sig w:usb0="80000003" w:usb1="02000000" w:usb2="00003000" w:usb3="00000000" w:csb0="00000001" w:csb1="00000000"/>
  </w:font>
  <w:font w:name="AvenirLTStd-Book">
    <w:altName w:val="Calibri"/>
    <w:panose1 w:val="00000000000000000000"/>
    <w:charset w:val="00"/>
    <w:family w:val="auto"/>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8E" w:rsidRPr="00D30FE4" w:rsidRDefault="00413519">
    <w:pPr>
      <w:pStyle w:val="Default"/>
      <w:ind w:left="-720" w:right="-1166"/>
      <w:jc w:val="center"/>
      <w:rPr>
        <w:rFonts w:ascii="Times New Roman" w:hAnsi="Times New Roman" w:cs="Times New Roman"/>
        <w:color w:val="663300"/>
        <w:sz w:val="32"/>
        <w:szCs w:val="60"/>
      </w:rPr>
    </w:pPr>
    <w:r w:rsidRPr="00F66859">
      <w:rPr>
        <w:rFonts w:ascii="Times New Roman" w:hAnsi="Times New Roman" w:cs="Times New Roman"/>
        <w:bCs/>
        <w:noProof/>
        <w:color w:val="002060"/>
        <w:sz w:val="72"/>
        <w:szCs w:val="90"/>
      </w:rPr>
      <mc:AlternateContent>
        <mc:Choice Requires="wps">
          <w:drawing>
            <wp:anchor distT="0" distB="0" distL="114300" distR="114300" simplePos="0" relativeHeight="251662336" behindDoc="1" locked="0" layoutInCell="1" allowOverlap="1">
              <wp:simplePos x="0" y="0"/>
              <wp:positionH relativeFrom="column">
                <wp:posOffset>-1012503</wp:posOffset>
              </wp:positionH>
              <wp:positionV relativeFrom="page">
                <wp:posOffset>9961880</wp:posOffset>
              </wp:positionV>
              <wp:extent cx="10241280" cy="22243"/>
              <wp:effectExtent l="0" t="76200" r="83820" b="111125"/>
              <wp:wrapNone/>
              <wp:docPr id="26" name="Straight Connector 26" descr="Same design box that surrounds all the text on the page that isn't in the header or footer.&#10;" title="Box around text on page"/>
              <wp:cNvGraphicFramePr/>
              <a:graphic xmlns:a="http://schemas.openxmlformats.org/drawingml/2006/main">
                <a:graphicData uri="http://schemas.microsoft.com/office/word/2010/wordprocessingShape">
                  <wps:wsp>
                    <wps:cNvCnPr/>
                    <wps:spPr>
                      <a:xfrm flipV="1">
                        <a:off x="0" y="0"/>
                        <a:ext cx="10241280" cy="22243"/>
                      </a:xfrm>
                      <a:prstGeom prst="line">
                        <a:avLst/>
                      </a:prstGeom>
                      <a:ln w="165100">
                        <a:gradFill>
                          <a:gsLst>
                            <a:gs pos="0">
                              <a:schemeClr val="accent6">
                                <a:lumMod val="20000"/>
                                <a:lumOff val="80000"/>
                              </a:schemeClr>
                            </a:gs>
                            <a:gs pos="74000">
                              <a:schemeClr val="accent6">
                                <a:lumMod val="75000"/>
                              </a:schemeClr>
                            </a:gs>
                            <a:gs pos="83000">
                              <a:schemeClr val="accent6">
                                <a:lumMod val="75000"/>
                              </a:schemeClr>
                            </a:gs>
                            <a:gs pos="100000">
                              <a:schemeClr val="accent6">
                                <a:lumMod val="20000"/>
                                <a:lumOff val="80000"/>
                              </a:schemeClr>
                            </a:gs>
                          </a:gsLst>
                          <a:lin ang="16200000" scaled="0"/>
                        </a:gra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5837D" id="Straight Connector 26" o:spid="_x0000_s1026" alt="Title: Box around text on page - Description: Same design box that surrounds all the text on the page that isn't in the header or footer.&#10;"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9.7pt,784.4pt" to="726.7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" strokeweight="13pt">
              <v:stroke joinstyle="miter"/>
              <w10:wrap anchory="page"/>
            </v:line>
          </w:pict>
        </mc:Fallback>
      </mc:AlternateContent>
    </w:r>
    <w:r w:rsidRPr="00F66859">
      <w:rPr>
        <w:rFonts w:ascii="Times New Roman" w:hAnsi="Times New Roman" w:cs="Times New Roman"/>
        <w:bCs/>
        <w:color w:val="002060"/>
        <w:szCs w:val="60"/>
      </w:rPr>
      <w:t>Center for Parent Information and Resources</w:t>
    </w:r>
    <w:r w:rsidRPr="00D30FE4">
      <w:rPr>
        <w:rFonts w:ascii="Times New Roman" w:hAnsi="Times New Roman" w:cs="Times New Roman"/>
        <w:bCs/>
        <w:color w:val="663300"/>
        <w:szCs w:val="60"/>
      </w:rPr>
      <w:br/>
    </w:r>
    <w:hyperlink r:id="rId1" w:history="1">
      <w:r w:rsidRPr="00D30FE4">
        <w:rPr>
          <w:rStyle w:val="Hyperlink"/>
          <w:rFonts w:ascii="Times New Roman" w:hAnsi="Times New Roman" w:cs="Times New Roman"/>
          <w:color w:val="663300"/>
          <w:szCs w:val="60"/>
          <w:u w:val="none"/>
        </w:rPr>
        <w:t>parentcenterhub.org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868" w:rsidRDefault="00570868">
      <w:pPr>
        <w:spacing w:after="0" w:line="240" w:lineRule="auto"/>
      </w:pPr>
      <w:r>
        <w:separator/>
      </w:r>
    </w:p>
  </w:footnote>
  <w:footnote w:type="continuationSeparator" w:id="0">
    <w:p w:rsidR="00570868" w:rsidRDefault="0057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8E" w:rsidRPr="005B35FB" w:rsidRDefault="00295951" w:rsidP="00E53EC1">
    <w:pPr>
      <w:pStyle w:val="Default"/>
      <w:spacing w:before="120" w:after="720"/>
      <w:ind w:left="-720" w:right="-720"/>
      <w:jc w:val="center"/>
      <w:rPr>
        <w:rFonts w:ascii="Times New Roman" w:hAnsi="Times New Roman" w:cs="Times New Roman"/>
        <w:color w:val="663300"/>
        <w:sz w:val="44"/>
        <w:szCs w:val="60"/>
      </w:rPr>
    </w:pPr>
    <w:r>
      <w:rPr>
        <w:rFonts w:ascii="Bookman Old Style" w:hAnsi="Bookman Old Style"/>
        <w:b/>
        <w:bCs/>
        <w:noProof/>
        <w:color w:val="663300"/>
        <w:sz w:val="72"/>
        <w:szCs w:val="90"/>
      </w:rPr>
      <mc:AlternateContent>
        <mc:Choice Requires="wps">
          <w:drawing>
            <wp:anchor distT="0" distB="0" distL="114300" distR="114300" simplePos="0" relativeHeight="251660288" behindDoc="1" locked="0" layoutInCell="1" allowOverlap="1">
              <wp:simplePos x="0" y="0"/>
              <wp:positionH relativeFrom="column">
                <wp:posOffset>-1039173</wp:posOffset>
              </wp:positionH>
              <wp:positionV relativeFrom="page">
                <wp:posOffset>86995</wp:posOffset>
              </wp:positionV>
              <wp:extent cx="10241280" cy="22225"/>
              <wp:effectExtent l="19050" t="114300" r="64770" b="130175"/>
              <wp:wrapNone/>
              <wp:docPr id="25" name="Straight Connector 25" descr="This is a design box that borders all the content text on each page.&#10;" title="Box around text on page"/>
              <wp:cNvGraphicFramePr/>
              <a:graphic xmlns:a="http://schemas.openxmlformats.org/drawingml/2006/main">
                <a:graphicData uri="http://schemas.microsoft.com/office/word/2010/wordprocessingShape">
                  <wps:wsp>
                    <wps:cNvCnPr/>
                    <wps:spPr>
                      <a:xfrm flipV="1">
                        <a:off x="0" y="0"/>
                        <a:ext cx="10241280" cy="22225"/>
                      </a:xfrm>
                      <a:prstGeom prst="line">
                        <a:avLst/>
                      </a:prstGeom>
                      <a:ln w="228600">
                        <a:gradFill>
                          <a:gsLst>
                            <a:gs pos="0">
                              <a:schemeClr val="accent6">
                                <a:lumMod val="20000"/>
                                <a:lumOff val="80000"/>
                              </a:schemeClr>
                            </a:gs>
                            <a:gs pos="74000">
                              <a:schemeClr val="accent6">
                                <a:lumMod val="75000"/>
                              </a:schemeClr>
                            </a:gs>
                            <a:gs pos="83000">
                              <a:schemeClr val="accent6">
                                <a:lumMod val="75000"/>
                              </a:schemeClr>
                            </a:gs>
                            <a:gs pos="100000">
                              <a:schemeClr val="accent6">
                                <a:lumMod val="20000"/>
                                <a:lumOff val="80000"/>
                              </a:schemeClr>
                            </a:gs>
                          </a:gsLst>
                          <a:lin ang="5400000" scaled="1"/>
                        </a:gra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AD6EC" id="Straight Connector 25" o:spid="_x0000_s1026" alt="Title: Box around text on page - Description: This is a design box that borders all the content text on each page.&#10;"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1.8pt,6.85pt" to="724.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" strokeweight="18pt">
              <v:stroke joinstyle="miter"/>
              <w10:wrap anchory="page"/>
            </v:line>
          </w:pict>
        </mc:Fallback>
      </mc:AlternateContent>
    </w:r>
    <w:r w:rsidR="00E53EC1">
      <w:rPr>
        <w:rFonts w:ascii="Bookman Old Style" w:hAnsi="Bookman Old Style"/>
        <w:b/>
        <w:bCs/>
        <w:noProof/>
        <w:color w:val="663300"/>
        <w:sz w:val="72"/>
        <w:szCs w:val="90"/>
      </w:rPr>
      <w:drawing>
        <wp:anchor distT="0" distB="0" distL="114300" distR="114300" simplePos="0" relativeHeight="251658240" behindDoc="1" locked="0" layoutInCell="1" allowOverlap="1">
          <wp:simplePos x="0" y="0"/>
          <wp:positionH relativeFrom="column">
            <wp:posOffset>-352425</wp:posOffset>
          </wp:positionH>
          <wp:positionV relativeFrom="paragraph">
            <wp:posOffset>-123825</wp:posOffset>
          </wp:positionV>
          <wp:extent cx="1504036" cy="733425"/>
          <wp:effectExtent l="0" t="0" r="1270" b="0"/>
          <wp:wrapNone/>
          <wp:docPr id="2" name="Picture 2" descr="This is the logo of the Center for Parent Information and Resources (CPIR). It includes CPIR's name and  3 hands in 3 separate circles of different size an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ir-logo.png"/>
                  <pic:cNvPicPr/>
                </pic:nvPicPr>
                <pic:blipFill>
                  <a:blip r:embed="rId1">
                    <a:extLst>
                      <a:ext uri="{28A0092B-C50C-407E-A947-70E740481C1C}">
                        <a14:useLocalDpi xmlns:a14="http://schemas.microsoft.com/office/drawing/2010/main" val="0"/>
                      </a:ext>
                    </a:extLst>
                  </a:blip>
                  <a:stretch>
                    <a:fillRect/>
                  </a:stretch>
                </pic:blipFill>
                <pic:spPr>
                  <a:xfrm>
                    <a:off x="0" y="0"/>
                    <a:ext cx="1504036" cy="733425"/>
                  </a:xfrm>
                  <a:prstGeom prst="rect">
                    <a:avLst/>
                  </a:prstGeom>
                </pic:spPr>
              </pic:pic>
            </a:graphicData>
          </a:graphic>
          <wp14:sizeRelH relativeFrom="margin">
            <wp14:pctWidth>0</wp14:pctWidth>
          </wp14:sizeRelH>
          <wp14:sizeRelV relativeFrom="margin">
            <wp14:pctHeight>0</wp14:pctHeight>
          </wp14:sizeRelV>
        </wp:anchor>
      </w:drawing>
    </w:r>
    <w:r w:rsidR="00413519">
      <w:rPr>
        <w:rFonts w:ascii="Bookman Old Style" w:hAnsi="Bookman Old Style"/>
        <w:b/>
        <w:bCs/>
        <w:noProof/>
        <w:color w:val="663300"/>
        <w:sz w:val="72"/>
        <w:szCs w:val="90"/>
      </w:rPr>
      <mc:AlternateContent>
        <mc:Choice Requires="wps">
          <w:drawing>
            <wp:anchor distT="0" distB="0" distL="114300" distR="114300" simplePos="0" relativeHeight="251659264" behindDoc="1" locked="0" layoutInCell="1" allowOverlap="1">
              <wp:simplePos x="0" y="0"/>
              <wp:positionH relativeFrom="column">
                <wp:posOffset>-341194</wp:posOffset>
              </wp:positionH>
              <wp:positionV relativeFrom="paragraph">
                <wp:posOffset>730155</wp:posOffset>
              </wp:positionV>
              <wp:extent cx="6667368" cy="7888406"/>
              <wp:effectExtent l="0" t="0" r="19685" b="17780"/>
              <wp:wrapNone/>
              <wp:docPr id="24" name="Rectangle 24" descr="This box appears on every page and borders the text. It's a design element only." title="Page Box"/>
              <wp:cNvGraphicFramePr/>
              <a:graphic xmlns:a="http://schemas.openxmlformats.org/drawingml/2006/main">
                <a:graphicData uri="http://schemas.microsoft.com/office/word/2010/wordprocessingShape">
                  <wps:wsp>
                    <wps:cNvSpPr/>
                    <wps:spPr>
                      <a:xfrm>
                        <a:off x="0" y="0"/>
                        <a:ext cx="6667368" cy="78884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E7B20" id="Rectangle 24" o:spid="_x0000_s1026" alt="Title: Page Box - Description: This box appears on every page and borders the text. It's a design element only." style="position:absolute;margin-left:-26.85pt;margin-top:57.5pt;width:525pt;height:6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" filled="f" strokecolor="#1f3763 [1604]" strokeweight="1pt"/>
          </w:pict>
        </mc:Fallback>
      </mc:AlternateContent>
    </w:r>
    <w:r w:rsidR="00413519">
      <w:rPr>
        <w:rFonts w:ascii="Bookman Old Style" w:hAnsi="Bookman Old Style"/>
        <w:bCs/>
        <w:color w:val="663300"/>
        <w:sz w:val="36"/>
        <w:szCs w:val="60"/>
      </w:rPr>
      <w:t xml:space="preserve">      </w:t>
    </w:r>
    <w:r w:rsidR="00E53EC1">
      <w:rPr>
        <w:rFonts w:ascii="Bookman Old Style" w:hAnsi="Bookman Old Style"/>
        <w:bCs/>
        <w:color w:val="663300"/>
        <w:sz w:val="36"/>
        <w:szCs w:val="60"/>
      </w:rPr>
      <w:t xml:space="preserve">    </w:t>
    </w:r>
    <w:r w:rsidR="00816179">
      <w:rPr>
        <w:rFonts w:ascii="Bookman Old Style" w:hAnsi="Bookman Old Style"/>
        <w:bCs/>
        <w:color w:val="663300"/>
        <w:sz w:val="36"/>
        <w:szCs w:val="60"/>
      </w:rPr>
      <w:t xml:space="preserve">  </w:t>
    </w:r>
    <w:r w:rsidR="005B35FB" w:rsidRPr="00457BA9">
      <w:rPr>
        <w:rFonts w:ascii="Times New Roman" w:hAnsi="Times New Roman" w:cs="Times New Roman"/>
        <w:color w:val="002060"/>
        <w:sz w:val="44"/>
        <w:szCs w:val="36"/>
      </w:rPr>
      <w:t>Every Student Succeeds Act (ESSA)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7E94"/>
    <w:multiLevelType w:val="hybridMultilevel"/>
    <w:tmpl w:val="8B42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826DA"/>
    <w:multiLevelType w:val="hybridMultilevel"/>
    <w:tmpl w:val="8764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570F"/>
    <w:multiLevelType w:val="hybridMultilevel"/>
    <w:tmpl w:val="4ADE92D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189B192C"/>
    <w:multiLevelType w:val="hybridMultilevel"/>
    <w:tmpl w:val="EA06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87381"/>
    <w:multiLevelType w:val="hybridMultilevel"/>
    <w:tmpl w:val="DCB0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B0F7D"/>
    <w:multiLevelType w:val="hybridMultilevel"/>
    <w:tmpl w:val="A974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64326"/>
    <w:multiLevelType w:val="hybridMultilevel"/>
    <w:tmpl w:val="7642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86E37"/>
    <w:multiLevelType w:val="hybridMultilevel"/>
    <w:tmpl w:val="0F96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01202E"/>
    <w:multiLevelType w:val="hybridMultilevel"/>
    <w:tmpl w:val="5270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8A56D0"/>
    <w:multiLevelType w:val="hybridMultilevel"/>
    <w:tmpl w:val="857439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9F42E64"/>
    <w:multiLevelType w:val="hybridMultilevel"/>
    <w:tmpl w:val="B6B6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91721"/>
    <w:multiLevelType w:val="hybridMultilevel"/>
    <w:tmpl w:val="FF449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7827C8"/>
    <w:multiLevelType w:val="hybridMultilevel"/>
    <w:tmpl w:val="A3C4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8"/>
  </w:num>
  <w:num w:numId="5">
    <w:abstractNumId w:val="9"/>
  </w:num>
  <w:num w:numId="6">
    <w:abstractNumId w:val="7"/>
  </w:num>
  <w:num w:numId="7">
    <w:abstractNumId w:val="2"/>
  </w:num>
  <w:num w:numId="8">
    <w:abstractNumId w:val="3"/>
  </w:num>
  <w:num w:numId="9">
    <w:abstractNumId w:val="1"/>
  </w:num>
  <w:num w:numId="10">
    <w:abstractNumId w:val="10"/>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8E"/>
    <w:rsid w:val="00021FCD"/>
    <w:rsid w:val="000B64F9"/>
    <w:rsid w:val="0011083D"/>
    <w:rsid w:val="001232DD"/>
    <w:rsid w:val="00135F4A"/>
    <w:rsid w:val="001F14D6"/>
    <w:rsid w:val="00230D1F"/>
    <w:rsid w:val="00295951"/>
    <w:rsid w:val="002C4B12"/>
    <w:rsid w:val="00352E07"/>
    <w:rsid w:val="00366C8B"/>
    <w:rsid w:val="003939A2"/>
    <w:rsid w:val="00413519"/>
    <w:rsid w:val="004572E9"/>
    <w:rsid w:val="00457BA9"/>
    <w:rsid w:val="004F1E91"/>
    <w:rsid w:val="00522F49"/>
    <w:rsid w:val="00570868"/>
    <w:rsid w:val="005B35FB"/>
    <w:rsid w:val="006C5CD2"/>
    <w:rsid w:val="00707F4F"/>
    <w:rsid w:val="00740AAE"/>
    <w:rsid w:val="007603C6"/>
    <w:rsid w:val="00816179"/>
    <w:rsid w:val="0084638E"/>
    <w:rsid w:val="00934FD1"/>
    <w:rsid w:val="00950A03"/>
    <w:rsid w:val="009A5068"/>
    <w:rsid w:val="00A5104E"/>
    <w:rsid w:val="00AB4EFA"/>
    <w:rsid w:val="00B97107"/>
    <w:rsid w:val="00BE024C"/>
    <w:rsid w:val="00C8737C"/>
    <w:rsid w:val="00CF037D"/>
    <w:rsid w:val="00D30FE4"/>
    <w:rsid w:val="00D62564"/>
    <w:rsid w:val="00E53EC1"/>
    <w:rsid w:val="00F66859"/>
    <w:rsid w:val="00FB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08D6F"/>
  <w15:chartTrackingRefBased/>
  <w15:docId w15:val="{7B75F13F-B5C0-4CAE-8868-32130D26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107"/>
  </w:style>
  <w:style w:type="paragraph" w:styleId="Heading3">
    <w:name w:val="heading 3"/>
    <w:basedOn w:val="Normal"/>
    <w:next w:val="Normal"/>
    <w:link w:val="Heading3Char"/>
    <w:uiPriority w:val="9"/>
    <w:unhideWhenUsed/>
    <w:qFormat/>
    <w:rsid w:val="00BE024C"/>
    <w:pPr>
      <w:keepNext/>
      <w:keepLines/>
      <w:spacing w:before="40" w:after="0" w:line="240"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matic SC" w:hAnsi="Amatic SC" w:cs="Amatic SC"/>
      <w:color w:val="000000"/>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sid w:val="00BE024C"/>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BE024C"/>
    <w:pPr>
      <w:spacing w:after="0" w:line="240" w:lineRule="auto"/>
      <w:ind w:left="720"/>
      <w:contextualSpacing/>
    </w:pPr>
    <w:rPr>
      <w:rFonts w:ascii="Arial" w:eastAsia="Times New Roman" w:hAnsi="Arial"/>
      <w:szCs w:val="20"/>
    </w:rPr>
  </w:style>
  <w:style w:type="character" w:styleId="Emphasis">
    <w:name w:val="Emphasis"/>
    <w:basedOn w:val="DefaultParagraphFont"/>
    <w:uiPriority w:val="20"/>
    <w:qFormat/>
    <w:rsid w:val="00BE024C"/>
    <w:rPr>
      <w:i/>
      <w:iCs/>
    </w:rPr>
  </w:style>
  <w:style w:type="character" w:styleId="UnresolvedMention">
    <w:name w:val="Unresolved Mention"/>
    <w:basedOn w:val="DefaultParagraphFont"/>
    <w:uiPriority w:val="99"/>
    <w:semiHidden/>
    <w:unhideWhenUsed/>
    <w:rsid w:val="00FB2A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policy/elsec/leg/essa/essastatereportcard.pdf" TargetMode="External"/><Relationship Id="rId13" Type="http://schemas.openxmlformats.org/officeDocument/2006/relationships/hyperlink" Target="https://www.pta.org/docs/default-source/uploadedfiles/Advocacy/3-ways-to-engage-in-new-essa-report-car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gov/policy/elsec/leg/essa/essastatereportcard.pdf" TargetMode="External"/><Relationship Id="rId12" Type="http://schemas.openxmlformats.org/officeDocument/2006/relationships/hyperlink" Target="https://www.pta.org/docs/default-source/uploadedfiles/Advocacy/lh-and-national-pta-what-makes-a-good-essa-report-card-webina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excellence.net/articles/school-report-cards-dont-matter-if-parents-cant-find-them" TargetMode="External"/><Relationship Id="rId5" Type="http://schemas.openxmlformats.org/officeDocument/2006/relationships/footnotes" Target="footnotes.xml"/><Relationship Id="rId15" Type="http://schemas.openxmlformats.org/officeDocument/2006/relationships/hyperlink" Target="https://www2.ed.gov/policy/elsec/leg/essa/perpupilreqltr.pdf" TargetMode="External"/><Relationship Id="rId10" Type="http://schemas.openxmlformats.org/officeDocument/2006/relationships/hyperlink" Target="https://dataqualitycampaign.org/showmetheda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csso.org/resource-library/communicating-performance-best-practices-resource-developing-state-report-cards" TargetMode="External"/><Relationship Id="rId14" Type="http://schemas.openxmlformats.org/officeDocument/2006/relationships/hyperlink" Target="https://www2.ed.gov/policy/elsec/leg/essa/essastatereportcard.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arentcenterhu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dc:creator>
  <cp:keywords/>
  <dc:description/>
  <cp:lastModifiedBy>Lisa Kupper</cp:lastModifiedBy>
  <cp:revision>2</cp:revision>
  <cp:lastPrinted>2018-05-19T21:21:00Z</cp:lastPrinted>
  <dcterms:created xsi:type="dcterms:W3CDTF">2018-05-19T21:39:00Z</dcterms:created>
  <dcterms:modified xsi:type="dcterms:W3CDTF">2018-05-19T21:39:00Z</dcterms:modified>
  <cp:contentStatus/>
</cp:coreProperties>
</file>