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186A5" w14:textId="77777777" w:rsidR="00F24BC8" w:rsidRPr="00DC1441" w:rsidRDefault="00F24BC8" w:rsidP="00F24BC8">
      <w:pPr>
        <w:pStyle w:val="NoSpacing"/>
        <w:jc w:val="center"/>
        <w:rPr>
          <w:b/>
          <w:sz w:val="28"/>
          <w:szCs w:val="28"/>
        </w:rPr>
      </w:pPr>
      <w:r w:rsidRPr="00DC1441">
        <w:rPr>
          <w:b/>
          <w:sz w:val="28"/>
          <w:szCs w:val="28"/>
        </w:rPr>
        <w:t xml:space="preserve">Handout </w:t>
      </w:r>
      <w:r w:rsidR="00D929D1">
        <w:rPr>
          <w:b/>
          <w:sz w:val="28"/>
          <w:szCs w:val="28"/>
        </w:rPr>
        <w:t>11</w:t>
      </w:r>
    </w:p>
    <w:p w14:paraId="22272C34" w14:textId="77777777" w:rsidR="00596F3C" w:rsidRPr="00F24BC8" w:rsidRDefault="00596F3C" w:rsidP="00596F3C">
      <w:pPr>
        <w:pStyle w:val="NoSpacing"/>
        <w:jc w:val="center"/>
        <w:rPr>
          <w:b/>
        </w:rPr>
      </w:pPr>
      <w:r>
        <w:rPr>
          <w:b/>
        </w:rPr>
        <w:t>Circle—Square—Triangle</w:t>
      </w:r>
    </w:p>
    <w:p w14:paraId="53D78C93" w14:textId="77777777" w:rsidR="004E2782" w:rsidRDefault="004E2782"/>
    <w:p w14:paraId="0F38BA66" w14:textId="77777777" w:rsidR="00886741" w:rsidRDefault="00886741" w:rsidP="00886741">
      <w:pPr>
        <w:pStyle w:val="NoSpacing"/>
      </w:pPr>
    </w:p>
    <w:p w14:paraId="0E538A1D" w14:textId="77777777" w:rsidR="00B75E41" w:rsidRDefault="00B75E41" w:rsidP="00886741">
      <w:pPr>
        <w:pStyle w:val="NoSpacing"/>
      </w:pPr>
      <w:r>
        <w:t>We are very pleased you attend</w:t>
      </w:r>
      <w:r w:rsidR="006E1E26">
        <w:t>ed</w:t>
      </w:r>
      <w:r>
        <w:t xml:space="preserve"> this training session today. Please think back on all the information covered—what disproportionality is</w:t>
      </w:r>
      <w:r w:rsidR="00D929D1">
        <w:t xml:space="preserve">, how it is calculated, key terms to know (risk ratio analysis, standard methodology, thresholds), and what states and LEAs must do upon a finding of significant disproportionality, including using 15% of its Part B funds on </w:t>
      </w:r>
      <w:r w:rsidR="002A67C9">
        <w:t xml:space="preserve">providing </w:t>
      </w:r>
      <w:r w:rsidR="00D929D1">
        <w:t>comprehensive CEIS.</w:t>
      </w:r>
    </w:p>
    <w:p w14:paraId="35E630B6" w14:textId="77777777" w:rsidR="00B75E41" w:rsidRDefault="00B75E41" w:rsidP="00886741">
      <w:pPr>
        <w:pStyle w:val="NoSpacing"/>
      </w:pPr>
    </w:p>
    <w:p w14:paraId="5AE7761B" w14:textId="32007D87" w:rsidR="00B75E41" w:rsidRDefault="006E1E26" w:rsidP="00886741">
      <w:pPr>
        <w:pStyle w:val="NoSpacing"/>
      </w:pPr>
      <w:r>
        <w:t>C</w:t>
      </w:r>
      <w:r w:rsidR="00B75E41">
        <w:t>omplete this activity sheet. Then share your answers with a partner, and see what your partner has to say.</w:t>
      </w:r>
    </w:p>
    <w:p w14:paraId="57DC7364" w14:textId="77777777" w:rsidR="001C41FF" w:rsidRDefault="001C41FF" w:rsidP="00886741">
      <w:pPr>
        <w:pStyle w:val="NoSpacing"/>
      </w:pPr>
    </w:p>
    <w:p w14:paraId="52A70B8D" w14:textId="77777777" w:rsidR="001C41FF" w:rsidRPr="00473FC5" w:rsidRDefault="001C41FF" w:rsidP="001C41FF">
      <w:pPr>
        <w:pStyle w:val="NoSpacing"/>
        <w:ind w:left="1980" w:hanging="1980"/>
        <w:rPr>
          <w:b/>
          <w:color w:val="800000"/>
          <w:sz w:val="48"/>
          <w:szCs w:val="48"/>
        </w:rPr>
      </w:pPr>
      <w:r w:rsidRPr="00473FC5">
        <w:rPr>
          <w:b/>
          <w:color w:val="800000"/>
          <w:sz w:val="48"/>
          <w:szCs w:val="48"/>
        </w:rPr>
        <w:t>CIRCLE</w:t>
      </w:r>
    </w:p>
    <w:p w14:paraId="6D7302E7" w14:textId="77777777" w:rsidR="001C41FF" w:rsidRDefault="001C41FF" w:rsidP="001C41FF">
      <w:pPr>
        <w:pStyle w:val="NoSpacing"/>
        <w:ind w:left="1980" w:hanging="1980"/>
        <w:rPr>
          <w:b/>
          <w:color w:val="1F3864" w:themeColor="accent1" w:themeShade="80"/>
          <w:sz w:val="48"/>
          <w:szCs w:val="48"/>
        </w:rPr>
      </w:pPr>
      <w:r>
        <w:rPr>
          <w:b/>
          <w:noProof/>
          <w:color w:val="1F3864" w:themeColor="accent1" w:themeShade="80"/>
          <w:sz w:val="48"/>
          <w:szCs w:val="48"/>
        </w:rPr>
        <mc:AlternateContent>
          <mc:Choice Requires="wps">
            <w:drawing>
              <wp:inline distT="0" distB="0" distL="0" distR="0" wp14:anchorId="583B7EC0" wp14:editId="7D7A7BD7">
                <wp:extent cx="900154" cy="837122"/>
                <wp:effectExtent l="38100" t="38100" r="90805" b="115570"/>
                <wp:docPr id="2" name="Oval 2" descr="Circle: What's still going around in your head? What do you still not understand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54" cy="8371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8DE1B7F" id="Oval 2" o:spid="_x0000_s1026" alt="Circle: What's still going around in your head? What do you still not understand?" style="width:70.9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" filled="f" strokecolor="maroon" strokeweight="1pt">
                <v:stroke joinstyle="miter"/>
                <v:shadow on="t" color="black" opacity="26214f" origin="-.5,-.5" offset=".74836mm,.74836mm"/>
                <w10:anchorlock/>
              </v:oval>
            </w:pict>
          </mc:Fallback>
        </mc:AlternateContent>
      </w:r>
    </w:p>
    <w:p w14:paraId="70433A39" w14:textId="77777777" w:rsidR="001C41FF" w:rsidRDefault="001C41FF" w:rsidP="001C41FF">
      <w:pPr>
        <w:pStyle w:val="NoSpacing"/>
        <w:ind w:left="450" w:right="6300"/>
        <w:rPr>
          <w:b/>
        </w:rPr>
      </w:pPr>
      <w:r w:rsidRPr="00596F3C">
        <w:rPr>
          <w:b/>
        </w:rPr>
        <w:t>What’s still going around</w:t>
      </w:r>
    </w:p>
    <w:p w14:paraId="5E1D8288" w14:textId="77777777" w:rsidR="001C41FF" w:rsidRDefault="001C41FF" w:rsidP="001C41FF">
      <w:pPr>
        <w:pStyle w:val="NoSpacing"/>
        <w:ind w:left="450" w:right="6300"/>
        <w:rPr>
          <w:b/>
        </w:rPr>
      </w:pPr>
      <w:r w:rsidRPr="00596F3C">
        <w:rPr>
          <w:b/>
        </w:rPr>
        <w:t>in your head?</w:t>
      </w:r>
    </w:p>
    <w:p w14:paraId="2D2595EA" w14:textId="77777777" w:rsidR="001C41FF" w:rsidRDefault="001C41FF" w:rsidP="001C41FF">
      <w:pPr>
        <w:pStyle w:val="NoSpacing"/>
        <w:ind w:left="450" w:right="6300"/>
        <w:rPr>
          <w:b/>
        </w:rPr>
      </w:pPr>
    </w:p>
    <w:p w14:paraId="15F50B2D" w14:textId="77777777" w:rsidR="001C41FF" w:rsidRDefault="001C41FF" w:rsidP="001C41FF">
      <w:pPr>
        <w:pStyle w:val="NoSpacing"/>
        <w:ind w:left="450" w:right="6300"/>
        <w:rPr>
          <w:b/>
        </w:rPr>
      </w:pPr>
      <w:r w:rsidRPr="00596F3C">
        <w:rPr>
          <w:b/>
        </w:rPr>
        <w:t xml:space="preserve">What do you still </w:t>
      </w:r>
      <w:r w:rsidRPr="00596F3C">
        <w:rPr>
          <w:b/>
          <w:i/>
        </w:rPr>
        <w:t>not</w:t>
      </w:r>
    </w:p>
    <w:p w14:paraId="74BA76AA" w14:textId="77777777" w:rsidR="001C41FF" w:rsidRPr="00CC5DD8" w:rsidRDefault="001C41FF" w:rsidP="001C41FF">
      <w:pPr>
        <w:pStyle w:val="NoSpacing"/>
        <w:ind w:left="450" w:right="6300"/>
      </w:pPr>
      <w:r w:rsidRPr="00596F3C">
        <w:rPr>
          <w:b/>
        </w:rPr>
        <w:t>understand?</w:t>
      </w:r>
    </w:p>
    <w:p w14:paraId="3067563D" w14:textId="77777777" w:rsidR="001C41FF" w:rsidRDefault="001C41FF" w:rsidP="001C41FF">
      <w:pPr>
        <w:pStyle w:val="NoSpacing"/>
        <w:ind w:left="1620" w:hanging="1980"/>
      </w:pPr>
    </w:p>
    <w:p w14:paraId="07642D04" w14:textId="77777777" w:rsidR="001C41FF" w:rsidRDefault="001C41FF" w:rsidP="001C41FF">
      <w:pPr>
        <w:pStyle w:val="NoSpacing"/>
        <w:ind w:left="1620" w:hanging="1980"/>
      </w:pPr>
    </w:p>
    <w:p w14:paraId="291FB78A" w14:textId="77777777" w:rsidR="001C41FF" w:rsidRDefault="001C41FF" w:rsidP="001C41FF">
      <w:pPr>
        <w:pStyle w:val="NoSpacing"/>
        <w:ind w:left="1620" w:hanging="1980"/>
      </w:pPr>
    </w:p>
    <w:p w14:paraId="40D0EEBE" w14:textId="77777777" w:rsidR="001C41FF" w:rsidRDefault="001C41FF" w:rsidP="001C41FF">
      <w:pPr>
        <w:pStyle w:val="NoSpacing"/>
        <w:ind w:left="1620" w:hanging="1980"/>
      </w:pPr>
    </w:p>
    <w:p w14:paraId="2A63BF0C" w14:textId="77777777" w:rsidR="001C41FF" w:rsidRDefault="001C41FF" w:rsidP="001C41FF">
      <w:pPr>
        <w:pStyle w:val="NoSpacing"/>
        <w:ind w:left="1620" w:hanging="1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DD1E" wp14:editId="6648A508">
                <wp:simplePos x="0" y="0"/>
                <wp:positionH relativeFrom="column">
                  <wp:posOffset>-256032</wp:posOffset>
                </wp:positionH>
                <wp:positionV relativeFrom="paragraph">
                  <wp:posOffset>112674</wp:posOffset>
                </wp:positionV>
                <wp:extent cx="6634886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88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5F7D1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5pt,8.85pt" to="502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" strokecolor="#7f7f7f [1612]" strokeweight="1pt">
                <v:stroke joinstyle="miter"/>
              </v:line>
            </w:pict>
          </mc:Fallback>
        </mc:AlternateContent>
      </w:r>
    </w:p>
    <w:p w14:paraId="4FA508E6" w14:textId="77777777" w:rsidR="001C41FF" w:rsidRDefault="001C41FF" w:rsidP="001C41FF">
      <w:pPr>
        <w:pStyle w:val="NoSpacing"/>
        <w:ind w:left="1620" w:hanging="1980"/>
      </w:pPr>
    </w:p>
    <w:p w14:paraId="09533BB8" w14:textId="77777777" w:rsidR="001C41FF" w:rsidRPr="00473FC5" w:rsidRDefault="001C41FF" w:rsidP="001C41FF">
      <w:pPr>
        <w:pStyle w:val="NoSpacing"/>
        <w:ind w:left="1980" w:hanging="1980"/>
        <w:rPr>
          <w:b/>
          <w:color w:val="009900"/>
          <w:sz w:val="48"/>
          <w:szCs w:val="48"/>
        </w:rPr>
      </w:pPr>
      <w:r w:rsidRPr="00473FC5">
        <w:rPr>
          <w:b/>
          <w:color w:val="009900"/>
          <w:sz w:val="48"/>
          <w:szCs w:val="48"/>
        </w:rPr>
        <w:t>SQUARE</w:t>
      </w:r>
    </w:p>
    <w:p w14:paraId="5926C55A" w14:textId="77777777" w:rsidR="001C41FF" w:rsidRDefault="001C41FF" w:rsidP="001C41FF">
      <w:pPr>
        <w:pStyle w:val="NoSpacing"/>
        <w:ind w:left="1980" w:hanging="1980"/>
        <w:rPr>
          <w:b/>
          <w:color w:val="1F3864" w:themeColor="accent1" w:themeShade="80"/>
          <w:sz w:val="48"/>
          <w:szCs w:val="48"/>
        </w:rPr>
      </w:pPr>
      <w:r>
        <w:rPr>
          <w:b/>
          <w:noProof/>
          <w:color w:val="1F3864" w:themeColor="accent1" w:themeShade="80"/>
          <w:sz w:val="48"/>
          <w:szCs w:val="48"/>
        </w:rPr>
        <mc:AlternateContent>
          <mc:Choice Requires="wps">
            <w:drawing>
              <wp:inline distT="0" distB="0" distL="0" distR="0" wp14:anchorId="0BF01BA5" wp14:editId="15614676">
                <wp:extent cx="1121134" cy="928976"/>
                <wp:effectExtent l="0" t="0" r="22225" b="24130"/>
                <wp:docPr id="4" name="Rectangle: Rounded Corners 4" descr="Square: What's squared away? What do you really understand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134" cy="92897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AF0942" id="Rectangle: Rounded Corners 4" o:spid="_x0000_s1026" alt="Square: What's squared away? What do you really understand?" style="width:88.3pt;height:7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" filled="f" strokecolor="#090" strokeweight="1pt">
                <v:stroke joinstyle="miter"/>
                <w10:anchorlock/>
              </v:roundrect>
            </w:pict>
          </mc:Fallback>
        </mc:AlternateContent>
      </w:r>
    </w:p>
    <w:p w14:paraId="3F6E00C9" w14:textId="77777777" w:rsidR="001C41FF" w:rsidRPr="00202D15" w:rsidRDefault="001C41FF" w:rsidP="001C41FF">
      <w:pPr>
        <w:pStyle w:val="NoSpacing"/>
        <w:rPr>
          <w:b/>
        </w:rPr>
      </w:pPr>
    </w:p>
    <w:p w14:paraId="7A20F8DB" w14:textId="77777777" w:rsidR="001C41FF" w:rsidRDefault="001C41FF" w:rsidP="001C41FF">
      <w:pPr>
        <w:pStyle w:val="NoSpacing"/>
        <w:ind w:left="1620" w:right="5490" w:hanging="1530"/>
        <w:rPr>
          <w:b/>
        </w:rPr>
      </w:pPr>
      <w:r w:rsidRPr="005063A9">
        <w:rPr>
          <w:b/>
        </w:rPr>
        <w:t>What’s squared away?</w:t>
      </w:r>
    </w:p>
    <w:p w14:paraId="5DF7E198" w14:textId="77777777" w:rsidR="001C41FF" w:rsidRDefault="001C41FF" w:rsidP="001C41FF">
      <w:pPr>
        <w:pStyle w:val="NoSpacing"/>
        <w:ind w:left="1620" w:right="5490" w:hanging="1530"/>
      </w:pPr>
      <w:r w:rsidRPr="005063A9">
        <w:rPr>
          <w:b/>
        </w:rPr>
        <w:t>What do you really understand?</w:t>
      </w:r>
    </w:p>
    <w:p w14:paraId="09965DC3" w14:textId="77777777" w:rsidR="001C41FF" w:rsidRDefault="001C41FF" w:rsidP="001C41FF">
      <w:pPr>
        <w:pStyle w:val="NoSpacing"/>
        <w:ind w:left="1620" w:hanging="1980"/>
      </w:pPr>
    </w:p>
    <w:p w14:paraId="6897B7A3" w14:textId="77777777" w:rsidR="001C41FF" w:rsidRDefault="001C41FF" w:rsidP="001C41FF">
      <w:pPr>
        <w:pStyle w:val="NoSpacing"/>
        <w:ind w:left="1620" w:hanging="1980"/>
      </w:pPr>
    </w:p>
    <w:p w14:paraId="1F6CD217" w14:textId="77777777" w:rsidR="001C41FF" w:rsidRDefault="001C41FF" w:rsidP="001C41FF">
      <w:pPr>
        <w:pStyle w:val="NoSpacing"/>
        <w:ind w:left="1620" w:hanging="1980"/>
      </w:pPr>
    </w:p>
    <w:p w14:paraId="2CC48915" w14:textId="77777777" w:rsidR="001C41FF" w:rsidRDefault="001C41FF" w:rsidP="001C41FF">
      <w:pPr>
        <w:pStyle w:val="NoSpacing"/>
        <w:ind w:left="1980" w:hanging="1620"/>
        <w:rPr>
          <w:b/>
          <w:color w:val="1F3864" w:themeColor="accent1" w:themeShade="80"/>
          <w:sz w:val="48"/>
          <w:szCs w:val="48"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4FD8D536" wp14:editId="4C78693C">
                <wp:extent cx="815837" cy="881710"/>
                <wp:effectExtent l="19050" t="19050" r="41910" b="13970"/>
                <wp:docPr id="10" name="Isosceles Triangle 10" descr="Triangle: What 3 things are you taking away from today's session about disproportionality? How will you USE these take-aways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37" cy="88171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9B7B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alt="Triangle: What 3 things are you taking away from today's session about disproportionality? How will you USE these take-aways?" style="width:64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" filled="f" strokecolor="#1f3763 [1604]" strokeweight="1pt">
                <w10:anchorlock/>
              </v:shape>
            </w:pict>
          </mc:Fallback>
        </mc:AlternateContent>
      </w:r>
    </w:p>
    <w:p w14:paraId="0ACBC479" w14:textId="77777777" w:rsidR="001C41FF" w:rsidRPr="00202D15" w:rsidRDefault="001C41FF" w:rsidP="001C41FF">
      <w:pPr>
        <w:pStyle w:val="NoSpacing"/>
        <w:ind w:left="1980" w:hanging="1620"/>
        <w:rPr>
          <w:b/>
        </w:rPr>
      </w:pPr>
      <w:r>
        <w:rPr>
          <w:b/>
          <w:color w:val="1F3864" w:themeColor="accent1" w:themeShade="80"/>
          <w:sz w:val="48"/>
          <w:szCs w:val="48"/>
        </w:rPr>
        <w:t>TRIANGLE</w:t>
      </w:r>
    </w:p>
    <w:p w14:paraId="463D0144" w14:textId="77777777" w:rsidR="001C41FF" w:rsidRDefault="001C41FF" w:rsidP="001C41FF">
      <w:pPr>
        <w:pStyle w:val="NoSpacing"/>
        <w:ind w:left="1980" w:hanging="1980"/>
        <w:rPr>
          <w:b/>
        </w:rPr>
      </w:pPr>
    </w:p>
    <w:p w14:paraId="2D666718" w14:textId="77777777" w:rsidR="001C41FF" w:rsidRDefault="001C41FF" w:rsidP="001C41FF">
      <w:pPr>
        <w:pStyle w:val="NoSpacing"/>
        <w:ind w:left="450" w:right="5760"/>
        <w:rPr>
          <w:b/>
        </w:rPr>
      </w:pPr>
      <w:r w:rsidRPr="00480CCB">
        <w:rPr>
          <w:b/>
          <w:color w:val="2F5496" w:themeColor="accent1" w:themeShade="BF"/>
        </w:rPr>
        <w:t xml:space="preserve">What 3 things </w:t>
      </w:r>
      <w:r>
        <w:rPr>
          <w:b/>
        </w:rPr>
        <w:t>are you “taking away” from today’s session about disproportionality?</w:t>
      </w:r>
    </w:p>
    <w:p w14:paraId="4C8DD1F2" w14:textId="77777777" w:rsidR="001C41FF" w:rsidRDefault="001C41FF" w:rsidP="001C41FF">
      <w:pPr>
        <w:pStyle w:val="NoSpacing"/>
        <w:ind w:left="450" w:right="5760"/>
        <w:rPr>
          <w:b/>
        </w:rPr>
      </w:pPr>
    </w:p>
    <w:p w14:paraId="77BBFCAA" w14:textId="77777777" w:rsidR="001C41FF" w:rsidRDefault="001C41FF" w:rsidP="001C41FF">
      <w:pPr>
        <w:pStyle w:val="NoSpacing"/>
        <w:ind w:left="450" w:right="5760"/>
        <w:rPr>
          <w:b/>
        </w:rPr>
      </w:pPr>
    </w:p>
    <w:p w14:paraId="01D8F81A" w14:textId="77777777" w:rsidR="001C41FF" w:rsidRDefault="001C41FF" w:rsidP="001C41FF">
      <w:pPr>
        <w:pStyle w:val="NoSpacing"/>
        <w:ind w:left="450" w:right="5490"/>
        <w:rPr>
          <w:b/>
        </w:rPr>
      </w:pPr>
      <w:r>
        <w:rPr>
          <w:b/>
        </w:rPr>
        <w:t xml:space="preserve">How will you </w:t>
      </w:r>
      <w:r w:rsidRPr="00480CCB">
        <w:rPr>
          <w:b/>
          <w:i/>
        </w:rPr>
        <w:t>use</w:t>
      </w:r>
      <w:r>
        <w:rPr>
          <w:b/>
        </w:rPr>
        <w:t xml:space="preserve"> these take-aways?</w:t>
      </w:r>
    </w:p>
    <w:p w14:paraId="7BB2B81C" w14:textId="77777777" w:rsidR="001C41FF" w:rsidRDefault="001C41FF" w:rsidP="001C41FF">
      <w:pPr>
        <w:pStyle w:val="NoSpacing"/>
        <w:ind w:left="1980" w:hanging="1980"/>
        <w:rPr>
          <w:b/>
        </w:rPr>
      </w:pPr>
    </w:p>
    <w:p w14:paraId="124E12FF" w14:textId="77777777" w:rsidR="001C41FF" w:rsidRDefault="001C41FF" w:rsidP="001C41FF">
      <w:pPr>
        <w:pStyle w:val="NoSpacing"/>
        <w:ind w:left="1980" w:hanging="1980"/>
        <w:rPr>
          <w:b/>
        </w:rPr>
      </w:pPr>
    </w:p>
    <w:p w14:paraId="0A241EA9" w14:textId="3F43AAE1" w:rsidR="00F06C9A" w:rsidRDefault="00F06C9A" w:rsidP="00697D28">
      <w:pPr>
        <w:rPr>
          <w:b/>
          <w:color w:val="1F3864" w:themeColor="accent1" w:themeShade="80"/>
          <w:sz w:val="48"/>
          <w:szCs w:val="48"/>
        </w:rPr>
      </w:pPr>
    </w:p>
    <w:p w14:paraId="21FF54A1" w14:textId="5B5E64A0" w:rsidR="001C41FF" w:rsidRDefault="001C41FF" w:rsidP="00697D28">
      <w:pPr>
        <w:rPr>
          <w:b/>
          <w:color w:val="1F3864" w:themeColor="accent1" w:themeShade="80"/>
          <w:sz w:val="48"/>
          <w:szCs w:val="48"/>
        </w:rPr>
      </w:pPr>
    </w:p>
    <w:p w14:paraId="4F473A8C" w14:textId="7A9DE054" w:rsidR="001C41FF" w:rsidRDefault="001C41FF" w:rsidP="00697D28">
      <w:pPr>
        <w:rPr>
          <w:b/>
          <w:color w:val="1F3864" w:themeColor="accent1" w:themeShade="80"/>
          <w:sz w:val="48"/>
          <w:szCs w:val="48"/>
        </w:rPr>
      </w:pPr>
    </w:p>
    <w:p w14:paraId="15B3DDB2" w14:textId="304CADC9" w:rsidR="001C41FF" w:rsidRDefault="001C41FF" w:rsidP="00697D28">
      <w:pPr>
        <w:rPr>
          <w:b/>
          <w:color w:val="1F3864" w:themeColor="accent1" w:themeShade="80"/>
          <w:sz w:val="48"/>
          <w:szCs w:val="48"/>
        </w:rPr>
      </w:pPr>
    </w:p>
    <w:p w14:paraId="08B3D3BC" w14:textId="75CE935C" w:rsidR="001C41FF" w:rsidRDefault="001C41FF" w:rsidP="00697D28">
      <w:pPr>
        <w:rPr>
          <w:b/>
          <w:color w:val="1F3864" w:themeColor="accent1" w:themeShade="80"/>
          <w:sz w:val="48"/>
          <w:szCs w:val="48"/>
        </w:rPr>
      </w:pPr>
    </w:p>
    <w:p w14:paraId="10F815E1" w14:textId="186C0A1E" w:rsidR="001C41FF" w:rsidRDefault="001C41FF" w:rsidP="00697D28">
      <w:pPr>
        <w:rPr>
          <w:b/>
          <w:color w:val="1F3864" w:themeColor="accent1" w:themeShade="80"/>
          <w:sz w:val="48"/>
          <w:szCs w:val="48"/>
        </w:rPr>
      </w:pPr>
    </w:p>
    <w:p w14:paraId="03CCEF47" w14:textId="68042A1E" w:rsidR="001C41FF" w:rsidRDefault="001C41FF" w:rsidP="00697D28">
      <w:pPr>
        <w:rPr>
          <w:b/>
          <w:color w:val="1F3864" w:themeColor="accent1" w:themeShade="80"/>
          <w:sz w:val="48"/>
          <w:szCs w:val="48"/>
        </w:rPr>
      </w:pPr>
    </w:p>
    <w:p w14:paraId="6ACDB55E" w14:textId="77777777" w:rsidR="001C41FF" w:rsidRDefault="001C41FF" w:rsidP="00697D28">
      <w:pPr>
        <w:rPr>
          <w:b/>
          <w:color w:val="1F3864" w:themeColor="accent1" w:themeShade="80"/>
          <w:sz w:val="48"/>
          <w:szCs w:val="48"/>
        </w:rPr>
      </w:pPr>
    </w:p>
    <w:p w14:paraId="26B900A7" w14:textId="77777777" w:rsidR="00DC1441" w:rsidRDefault="00F06C9A" w:rsidP="00413A78">
      <w:r w:rsidRPr="001225A9">
        <w:rPr>
          <w:i/>
          <w:sz w:val="20"/>
          <w:szCs w:val="20"/>
        </w:rPr>
        <w:t>Adapted from</w:t>
      </w:r>
      <w:r w:rsidR="001225A9">
        <w:rPr>
          <w:i/>
          <w:sz w:val="20"/>
          <w:szCs w:val="20"/>
        </w:rPr>
        <w:t>:</w:t>
      </w:r>
      <w:r w:rsidRPr="00F06C9A">
        <w:rPr>
          <w:sz w:val="20"/>
          <w:szCs w:val="20"/>
        </w:rPr>
        <w:t xml:space="preserve"> Dirksen, D. (2011, April). Hitting the reset button: Using formative assessment to guide instruction. </w:t>
      </w:r>
      <w:r w:rsidRPr="00F06C9A">
        <w:rPr>
          <w:i/>
          <w:sz w:val="20"/>
          <w:szCs w:val="20"/>
        </w:rPr>
        <w:t>Phi Delta Kappan, 92</w:t>
      </w:r>
      <w:r w:rsidRPr="00F06C9A">
        <w:rPr>
          <w:sz w:val="20"/>
          <w:szCs w:val="20"/>
        </w:rPr>
        <w:t xml:space="preserve">(7), 26-31. </w:t>
      </w:r>
      <w:r w:rsidR="00E31AA8">
        <w:rPr>
          <w:sz w:val="20"/>
          <w:szCs w:val="20"/>
        </w:rPr>
        <w:t xml:space="preserve">Article available online at: </w:t>
      </w:r>
      <w:hyperlink r:id="rId6" w:history="1">
        <w:r w:rsidR="00E31AA8" w:rsidRPr="00B96C55">
          <w:rPr>
            <w:rStyle w:val="Hyperlink"/>
            <w:sz w:val="20"/>
            <w:szCs w:val="20"/>
          </w:rPr>
          <w:t>http://www.jstor.org/stable/25822834</w:t>
        </w:r>
      </w:hyperlink>
      <w:r w:rsidR="00E31AA8">
        <w:rPr>
          <w:sz w:val="20"/>
          <w:szCs w:val="20"/>
        </w:rPr>
        <w:t xml:space="preserve"> </w:t>
      </w:r>
      <w:r w:rsidR="00E31AA8" w:rsidRPr="00E31AA8">
        <w:rPr>
          <w:sz w:val="20"/>
          <w:szCs w:val="20"/>
        </w:rPr>
        <w:t xml:space="preserve"> </w:t>
      </w:r>
      <w:r w:rsidR="00E31AA8">
        <w:rPr>
          <w:sz w:val="20"/>
          <w:szCs w:val="20"/>
        </w:rPr>
        <w:t xml:space="preserve"> </w:t>
      </w:r>
      <w:r w:rsidR="00E31AA8">
        <w:rPr>
          <w:sz w:val="20"/>
          <w:szCs w:val="20"/>
        </w:rPr>
        <w:br/>
      </w:r>
      <w:r w:rsidRPr="00F06C9A">
        <w:rPr>
          <w:sz w:val="20"/>
          <w:szCs w:val="20"/>
        </w:rPr>
        <w:t xml:space="preserve">Summarized online at: </w:t>
      </w:r>
      <w:hyperlink r:id="rId7" w:history="1">
        <w:r w:rsidRPr="00F06C9A">
          <w:rPr>
            <w:rStyle w:val="Hyperlink"/>
            <w:sz w:val="20"/>
            <w:szCs w:val="20"/>
          </w:rPr>
          <w:t>http://blog.trainerswarehouse.com/memorable-debriefing</w:t>
        </w:r>
        <w:bookmarkStart w:id="0" w:name="_GoBack"/>
        <w:bookmarkEnd w:id="0"/>
        <w:r w:rsidRPr="00F06C9A">
          <w:rPr>
            <w:rStyle w:val="Hyperlink"/>
            <w:sz w:val="20"/>
            <w:szCs w:val="20"/>
          </w:rPr>
          <w:t>/</w:t>
        </w:r>
      </w:hyperlink>
      <w:r w:rsidRPr="00F06C9A">
        <w:rPr>
          <w:sz w:val="20"/>
          <w:szCs w:val="20"/>
        </w:rPr>
        <w:t xml:space="preserve"> </w:t>
      </w:r>
    </w:p>
    <w:sectPr w:rsidR="00DC144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9206A" w14:textId="77777777" w:rsidR="00F64CEC" w:rsidRDefault="00F64CEC" w:rsidP="00F24BC8">
      <w:pPr>
        <w:spacing w:after="0" w:line="240" w:lineRule="auto"/>
      </w:pPr>
      <w:r>
        <w:separator/>
      </w:r>
    </w:p>
  </w:endnote>
  <w:endnote w:type="continuationSeparator" w:id="0">
    <w:p w14:paraId="78FD6BC7" w14:textId="77777777" w:rsidR="00F64CEC" w:rsidRDefault="00F64CEC" w:rsidP="00F2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7C2F" w14:textId="77777777" w:rsidR="00E026D4" w:rsidRDefault="00E026D4" w:rsidP="00F24BC8">
    <w:pPr>
      <w:pStyle w:val="Footer"/>
      <w:rPr>
        <w:rFonts w:cstheme="minorHAnsi"/>
        <w:i/>
      </w:rPr>
    </w:pPr>
    <w:r>
      <w:rPr>
        <w:rFonts w:cstheme="minorHAns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236FE" wp14:editId="5CC0BE0C">
              <wp:simplePos x="0" y="0"/>
              <wp:positionH relativeFrom="column">
                <wp:posOffset>19050</wp:posOffset>
              </wp:positionH>
              <wp:positionV relativeFrom="paragraph">
                <wp:posOffset>93345</wp:posOffset>
              </wp:positionV>
              <wp:extent cx="5924550" cy="0"/>
              <wp:effectExtent l="0" t="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6AA1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" strokecolor="black [3200]" strokeweight=".5pt">
              <v:stroke joinstyle="miter"/>
            </v:line>
          </w:pict>
        </mc:Fallback>
      </mc:AlternateContent>
    </w:r>
  </w:p>
  <w:p w14:paraId="41721388" w14:textId="77777777" w:rsidR="00E026D4" w:rsidRDefault="00E026D4" w:rsidP="00F24BC8">
    <w:pPr>
      <w:pStyle w:val="Footer"/>
    </w:pPr>
    <w:r w:rsidRPr="004D2465">
      <w:rPr>
        <w:rFonts w:cstheme="minorHAnsi"/>
        <w:i/>
      </w:rPr>
      <w:t>Disproportionality in Special Education</w:t>
    </w:r>
    <w:r w:rsidRPr="004D2465">
      <w:rPr>
        <w:rFonts w:cstheme="minorHAnsi"/>
      </w:rPr>
      <w:t xml:space="preserve"> | Handout </w:t>
    </w:r>
    <w:r w:rsidR="00D929D1">
      <w:rPr>
        <w:rFonts w:cstheme="minorHAnsi"/>
      </w:rPr>
      <w:t>11</w:t>
    </w:r>
    <w:r w:rsidR="00596F3C">
      <w:rPr>
        <w:rFonts w:cstheme="minorHAnsi"/>
      </w:rPr>
      <w:t>: Circle-Square-Triangle</w:t>
    </w:r>
    <w:r w:rsidRPr="004D2465">
      <w:rPr>
        <w:rFonts w:cstheme="minorHAnsi"/>
      </w:rPr>
      <w:tab/>
      <w:t>p</w:t>
    </w:r>
    <w:sdt>
      <w:sdtPr>
        <w:rPr>
          <w:rFonts w:cstheme="minorHAnsi"/>
        </w:rPr>
        <w:id w:val="30159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D2465">
          <w:rPr>
            <w:rFonts w:cstheme="minorHAnsi"/>
          </w:rPr>
          <w:t xml:space="preserve">age | </w:t>
        </w:r>
        <w:r w:rsidRPr="004D2465">
          <w:rPr>
            <w:rFonts w:cstheme="minorHAnsi"/>
          </w:rPr>
          <w:fldChar w:fldCharType="begin"/>
        </w:r>
        <w:r w:rsidRPr="004D2465">
          <w:rPr>
            <w:rFonts w:cstheme="minorHAnsi"/>
          </w:rPr>
          <w:instrText xml:space="preserve"> PAGE   \* MERGEFORMAT </w:instrText>
        </w:r>
        <w:r w:rsidRPr="004D2465">
          <w:rPr>
            <w:rFonts w:cstheme="minorHAnsi"/>
          </w:rPr>
          <w:fldChar w:fldCharType="separate"/>
        </w:r>
        <w:r w:rsidR="002A67C9">
          <w:rPr>
            <w:rFonts w:cstheme="minorHAnsi"/>
            <w:noProof/>
          </w:rPr>
          <w:t>2</w:t>
        </w:r>
        <w:r w:rsidRPr="004D2465">
          <w:rPr>
            <w:rFonts w:cstheme="minorHAnsi"/>
            <w:noProof/>
          </w:rPr>
          <w:fldChar w:fldCharType="end"/>
        </w:r>
      </w:sdtContent>
    </w:sdt>
  </w:p>
  <w:p w14:paraId="50641701" w14:textId="77777777" w:rsidR="00E026D4" w:rsidRDefault="00E0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6FF6" w14:textId="77777777" w:rsidR="00F64CEC" w:rsidRDefault="00F64CEC" w:rsidP="00F24BC8">
      <w:pPr>
        <w:spacing w:after="0" w:line="240" w:lineRule="auto"/>
      </w:pPr>
      <w:r>
        <w:separator/>
      </w:r>
    </w:p>
  </w:footnote>
  <w:footnote w:type="continuationSeparator" w:id="0">
    <w:p w14:paraId="0C7AE7BE" w14:textId="77777777" w:rsidR="00F64CEC" w:rsidRDefault="00F64CEC" w:rsidP="00F24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82"/>
    <w:rsid w:val="00075A28"/>
    <w:rsid w:val="000D675B"/>
    <w:rsid w:val="000D7BC1"/>
    <w:rsid w:val="001225A9"/>
    <w:rsid w:val="00122C33"/>
    <w:rsid w:val="00131D4B"/>
    <w:rsid w:val="00135612"/>
    <w:rsid w:val="00163098"/>
    <w:rsid w:val="001720F0"/>
    <w:rsid w:val="0018391A"/>
    <w:rsid w:val="001C41FF"/>
    <w:rsid w:val="001D0D2B"/>
    <w:rsid w:val="001E29F1"/>
    <w:rsid w:val="001F07A4"/>
    <w:rsid w:val="00202D15"/>
    <w:rsid w:val="00214EF0"/>
    <w:rsid w:val="00250BA1"/>
    <w:rsid w:val="00294864"/>
    <w:rsid w:val="00296A57"/>
    <w:rsid w:val="002A67C9"/>
    <w:rsid w:val="00333A79"/>
    <w:rsid w:val="0035228B"/>
    <w:rsid w:val="00367104"/>
    <w:rsid w:val="003E6FC9"/>
    <w:rsid w:val="003E7F50"/>
    <w:rsid w:val="00413A78"/>
    <w:rsid w:val="004176D8"/>
    <w:rsid w:val="00461D1C"/>
    <w:rsid w:val="00462089"/>
    <w:rsid w:val="004665BD"/>
    <w:rsid w:val="00473FC5"/>
    <w:rsid w:val="00480130"/>
    <w:rsid w:val="00480CCB"/>
    <w:rsid w:val="004D43A2"/>
    <w:rsid w:val="004D73A7"/>
    <w:rsid w:val="004E2782"/>
    <w:rsid w:val="005063A9"/>
    <w:rsid w:val="00511BC4"/>
    <w:rsid w:val="005445E5"/>
    <w:rsid w:val="00596F3C"/>
    <w:rsid w:val="005A2F76"/>
    <w:rsid w:val="005E1200"/>
    <w:rsid w:val="005E61BA"/>
    <w:rsid w:val="00646F12"/>
    <w:rsid w:val="00693ABB"/>
    <w:rsid w:val="00697D28"/>
    <w:rsid w:val="006A5412"/>
    <w:rsid w:val="006E1E26"/>
    <w:rsid w:val="00705FEF"/>
    <w:rsid w:val="00710A93"/>
    <w:rsid w:val="00720271"/>
    <w:rsid w:val="0074186A"/>
    <w:rsid w:val="00763BF3"/>
    <w:rsid w:val="00777A56"/>
    <w:rsid w:val="007B39C4"/>
    <w:rsid w:val="007E320C"/>
    <w:rsid w:val="007E434C"/>
    <w:rsid w:val="007E4EC9"/>
    <w:rsid w:val="008357DA"/>
    <w:rsid w:val="00846657"/>
    <w:rsid w:val="0086169B"/>
    <w:rsid w:val="00886741"/>
    <w:rsid w:val="008B6047"/>
    <w:rsid w:val="00916ACA"/>
    <w:rsid w:val="00946193"/>
    <w:rsid w:val="00976229"/>
    <w:rsid w:val="009B3C2E"/>
    <w:rsid w:val="009C0A80"/>
    <w:rsid w:val="009D1DB2"/>
    <w:rsid w:val="00A05A9F"/>
    <w:rsid w:val="00A24FCE"/>
    <w:rsid w:val="00A4342F"/>
    <w:rsid w:val="00A9433F"/>
    <w:rsid w:val="00AB2E60"/>
    <w:rsid w:val="00AB3363"/>
    <w:rsid w:val="00AD5385"/>
    <w:rsid w:val="00B20313"/>
    <w:rsid w:val="00B53063"/>
    <w:rsid w:val="00B61CD2"/>
    <w:rsid w:val="00B75E41"/>
    <w:rsid w:val="00B83725"/>
    <w:rsid w:val="00BA2B28"/>
    <w:rsid w:val="00C12C51"/>
    <w:rsid w:val="00C2758C"/>
    <w:rsid w:val="00C724F9"/>
    <w:rsid w:val="00CB7EE6"/>
    <w:rsid w:val="00CC5DD8"/>
    <w:rsid w:val="00CD50CB"/>
    <w:rsid w:val="00D4049D"/>
    <w:rsid w:val="00D513CC"/>
    <w:rsid w:val="00D764FE"/>
    <w:rsid w:val="00D929D1"/>
    <w:rsid w:val="00D942FA"/>
    <w:rsid w:val="00DC1441"/>
    <w:rsid w:val="00DF38D5"/>
    <w:rsid w:val="00E026D4"/>
    <w:rsid w:val="00E3086C"/>
    <w:rsid w:val="00E31AA8"/>
    <w:rsid w:val="00E41E23"/>
    <w:rsid w:val="00E82B06"/>
    <w:rsid w:val="00E8387A"/>
    <w:rsid w:val="00F06C9A"/>
    <w:rsid w:val="00F11630"/>
    <w:rsid w:val="00F24BC8"/>
    <w:rsid w:val="00F64CEC"/>
    <w:rsid w:val="00F86913"/>
    <w:rsid w:val="00FB1265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0D55"/>
  <w15:chartTrackingRefBased/>
  <w15:docId w15:val="{DFD17FEF-A2CE-4E05-A133-5994B7E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9A"/>
  </w:style>
  <w:style w:type="paragraph" w:styleId="Heading1">
    <w:name w:val="heading 1"/>
    <w:basedOn w:val="Normal"/>
    <w:link w:val="Heading1Char"/>
    <w:uiPriority w:val="9"/>
    <w:qFormat/>
    <w:rsid w:val="00D51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F76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131D4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434C"/>
  </w:style>
  <w:style w:type="paragraph" w:customStyle="1" w:styleId="TitleofHandout">
    <w:name w:val="Title of Handout"/>
    <w:rsid w:val="00F24BC8"/>
    <w:pPr>
      <w:spacing w:after="120" w:line="240" w:lineRule="auto"/>
    </w:pPr>
    <w:rPr>
      <w:rFonts w:ascii="Trebuchet MS" w:eastAsia="Times New Roman" w:hAnsi="Trebuchet MS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F2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C8"/>
  </w:style>
  <w:style w:type="paragraph" w:styleId="Footer">
    <w:name w:val="footer"/>
    <w:basedOn w:val="Normal"/>
    <w:link w:val="FooterChar"/>
    <w:uiPriority w:val="99"/>
    <w:unhideWhenUsed/>
    <w:rsid w:val="00F2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C8"/>
  </w:style>
  <w:style w:type="character" w:customStyle="1" w:styleId="Heading1Char">
    <w:name w:val="Heading 1 Char"/>
    <w:basedOn w:val="DefaultParagraphFont"/>
    <w:link w:val="Heading1"/>
    <w:uiPriority w:val="9"/>
    <w:rsid w:val="00D513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log.trainerswarehouse.com/memorable-debrief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tor.org/stable/258228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Kupper</dc:creator>
  <cp:keywords/>
  <dc:description/>
  <cp:lastModifiedBy>Lisa Kupper</cp:lastModifiedBy>
  <cp:revision>7</cp:revision>
  <dcterms:created xsi:type="dcterms:W3CDTF">2018-07-14T20:01:00Z</dcterms:created>
  <dcterms:modified xsi:type="dcterms:W3CDTF">2020-11-05T21:25:00Z</dcterms:modified>
</cp:coreProperties>
</file>