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9D50" w14:textId="46959421" w:rsidR="00792633" w:rsidRPr="0022400A" w:rsidRDefault="0022400A">
      <w:pPr>
        <w:pStyle w:val="Title"/>
        <w:rPr>
          <w:sz w:val="40"/>
          <w:szCs w:val="40"/>
        </w:rPr>
      </w:pPr>
      <w:bookmarkStart w:id="1" w:name="_Hlk479672135"/>
      <w:r w:rsidRPr="0022400A">
        <w:rPr>
          <w:rFonts w:ascii="Candara" w:hAnsi="Candara"/>
          <w:i/>
          <w:noProof/>
          <w:sz w:val="40"/>
          <w:szCs w:val="40"/>
        </w:rPr>
        <w:drawing>
          <wp:anchor distT="0" distB="0" distL="114300" distR="114300" simplePos="0" relativeHeight="251660288" behindDoc="0" locked="0" layoutInCell="1" allowOverlap="1" wp14:anchorId="62138FDC" wp14:editId="2B67C166">
            <wp:simplePos x="0" y="0"/>
            <wp:positionH relativeFrom="column">
              <wp:posOffset>4072117</wp:posOffset>
            </wp:positionH>
            <wp:positionV relativeFrom="page">
              <wp:posOffset>1166053</wp:posOffset>
            </wp:positionV>
            <wp:extent cx="2472700" cy="1152742"/>
            <wp:effectExtent l="0" t="0" r="381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700" cy="1152742"/>
                    </a:xfrm>
                    <a:prstGeom prst="rect">
                      <a:avLst/>
                    </a:prstGeom>
                  </pic:spPr>
                </pic:pic>
              </a:graphicData>
            </a:graphic>
            <wp14:sizeRelH relativeFrom="margin">
              <wp14:pctWidth>0</wp14:pctWidth>
            </wp14:sizeRelH>
            <wp14:sizeRelV relativeFrom="margin">
              <wp14:pctHeight>0</wp14:pctHeight>
            </wp14:sizeRelV>
          </wp:anchor>
        </w:drawing>
      </w:r>
      <w:r w:rsidR="00E15BC9" w:rsidRPr="0022400A">
        <w:rPr>
          <w:noProof/>
          <w:sz w:val="40"/>
          <w:szCs w:val="40"/>
        </w:rPr>
        <w:drawing>
          <wp:anchor distT="0" distB="0" distL="114300" distR="114300" simplePos="0" relativeHeight="251811840" behindDoc="1" locked="0" layoutInCell="1" allowOverlap="1" wp14:anchorId="02BD9A13" wp14:editId="78C96968">
            <wp:simplePos x="0" y="0"/>
            <wp:positionH relativeFrom="column">
              <wp:posOffset>-831387</wp:posOffset>
            </wp:positionH>
            <wp:positionV relativeFrom="page">
              <wp:posOffset>-13970</wp:posOffset>
            </wp:positionV>
            <wp:extent cx="7783736" cy="909787"/>
            <wp:effectExtent l="0" t="0" r="0"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783736" cy="909787"/>
                    </a:xfrm>
                    <a:prstGeom prst="rect">
                      <a:avLst/>
                    </a:prstGeom>
                  </pic:spPr>
                </pic:pic>
              </a:graphicData>
            </a:graphic>
            <wp14:sizeRelH relativeFrom="margin">
              <wp14:pctWidth>0</wp14:pctWidth>
            </wp14:sizeRelH>
            <wp14:sizeRelV relativeFrom="margin">
              <wp14:pctHeight>0</wp14:pctHeight>
            </wp14:sizeRelV>
          </wp:anchor>
        </w:drawing>
      </w:r>
      <w:r w:rsidR="008248D2" w:rsidRPr="0022400A">
        <w:rPr>
          <w:rFonts w:ascii="Candara" w:hAnsi="Candara"/>
          <w:sz w:val="40"/>
          <w:szCs w:val="40"/>
        </w:rPr>
        <w:t>Disproportionality in Special Education</w:t>
      </w:r>
      <w:r w:rsidRPr="0022400A">
        <w:rPr>
          <w:rFonts w:ascii="Candara" w:hAnsi="Candara"/>
          <w:sz w:val="40"/>
          <w:szCs w:val="40"/>
        </w:rPr>
        <w:br/>
      </w:r>
      <w:r w:rsidR="008248D2" w:rsidRPr="0022400A">
        <w:rPr>
          <w:rFonts w:ascii="Candara" w:hAnsi="Candara"/>
          <w:sz w:val="40"/>
          <w:szCs w:val="40"/>
        </w:rPr>
        <w:t xml:space="preserve">Text-Only Slideshow </w:t>
      </w:r>
      <w:r w:rsidR="006C04A1">
        <w:rPr>
          <w:rFonts w:ascii="Candara" w:hAnsi="Candara"/>
          <w:sz w:val="40"/>
          <w:szCs w:val="40"/>
        </w:rPr>
        <w:t>2</w:t>
      </w:r>
      <w:r w:rsidR="00F86147" w:rsidRPr="0022400A">
        <w:rPr>
          <w:sz w:val="40"/>
          <w:szCs w:val="40"/>
        </w:rPr>
        <w:t xml:space="preserve"> </w:t>
      </w:r>
    </w:p>
    <w:p w14:paraId="315DF5C8" w14:textId="77777777" w:rsidR="00792633" w:rsidRDefault="00792633">
      <w:pPr>
        <w:pStyle w:val="NoSpacing"/>
        <w:ind w:left="2160"/>
        <w:jc w:val="right"/>
      </w:pPr>
    </w:p>
    <w:p w14:paraId="7CAACCD3" w14:textId="1F068A43" w:rsidR="00792633" w:rsidRDefault="00F86147">
      <w:pPr>
        <w:pStyle w:val="NoSpacing"/>
      </w:pPr>
      <w:r>
        <w:rPr>
          <w:b/>
        </w:rPr>
        <w:t>Center for Parent Information and Resources (CPIR)</w:t>
      </w:r>
      <w:r w:rsidR="00E71D49">
        <w:rPr>
          <w:b/>
        </w:rPr>
        <w:br/>
      </w:r>
      <w:hyperlink r:id="rId10" w:history="1">
        <w:r>
          <w:rPr>
            <w:rStyle w:val="Hyperlink"/>
          </w:rPr>
          <w:t>http://www.parentcenterhub.org</w:t>
        </w:r>
      </w:hyperlink>
      <w:r>
        <w:t xml:space="preserve"> </w:t>
      </w:r>
    </w:p>
    <w:p w14:paraId="3F80AC52" w14:textId="449EE7BF" w:rsidR="00792633" w:rsidRDefault="005766A5">
      <w:pPr>
        <w:pStyle w:val="NoSpacing"/>
      </w:pPr>
      <w:r>
        <w:t>November</w:t>
      </w:r>
      <w:r w:rsidR="00F76747">
        <w:t xml:space="preserve"> 2020</w:t>
      </w:r>
      <w:r w:rsidR="00E71D49">
        <w:br/>
      </w:r>
      <w:r w:rsidR="00F86147">
        <w:t>______________________________________________________________________________</w:t>
      </w:r>
    </w:p>
    <w:p w14:paraId="2C8A49D0" w14:textId="28BF9665" w:rsidR="0067407C" w:rsidRPr="005405C2" w:rsidRDefault="0067407C" w:rsidP="0067407C">
      <w:pPr>
        <w:pStyle w:val="NoSpacing"/>
        <w:rPr>
          <w:i/>
        </w:rPr>
      </w:pPr>
      <w:r>
        <w:br/>
        <w:t xml:space="preserve">The Center for Parent Information and Resources is pleased to provide this text-only version of the slides in Slideshow </w:t>
      </w:r>
      <w:r w:rsidR="00D97744">
        <w:t>2</w:t>
      </w:r>
      <w:r w:rsidR="00F25915">
        <w:t xml:space="preserve"> of the training module </w:t>
      </w:r>
      <w:r w:rsidR="00F25915" w:rsidRPr="0064359B">
        <w:rPr>
          <w:i/>
          <w:iCs/>
        </w:rPr>
        <w:t>Disproportionality in Special Education</w:t>
      </w:r>
      <w:r w:rsidR="00F25915">
        <w:t xml:space="preserve">. </w:t>
      </w:r>
      <w:r w:rsidR="00A237B6">
        <w:t>T</w:t>
      </w:r>
      <w:r w:rsidR="006D6BFA">
        <w:t xml:space="preserve">his version </w:t>
      </w:r>
      <w:r w:rsidR="005B21A8">
        <w:t xml:space="preserve">is made available to ensure the accessibility of </w:t>
      </w:r>
      <w:r w:rsidR="000858C9">
        <w:t>the slide content to individuals with disabilities, including those with blindness or visual impairment</w:t>
      </w:r>
      <w:r w:rsidR="007C41EB">
        <w:t xml:space="preserve">. </w:t>
      </w:r>
      <w:r w:rsidR="006D6BFA">
        <w:t xml:space="preserve"> </w:t>
      </w:r>
    </w:p>
    <w:p w14:paraId="1F2D6BB9" w14:textId="77777777" w:rsidR="0067407C" w:rsidRDefault="0067407C">
      <w:pPr>
        <w:pStyle w:val="NoSpacing"/>
      </w:pPr>
    </w:p>
    <w:p w14:paraId="3763F9A0" w14:textId="54E4F4BB" w:rsidR="001B3791" w:rsidRPr="00E642C9" w:rsidRDefault="001B3791" w:rsidP="00E642C9">
      <w:pPr>
        <w:rPr>
          <w:b/>
          <w:bCs/>
        </w:rPr>
      </w:pPr>
      <w:r w:rsidRPr="00E642C9">
        <w:rPr>
          <w:b/>
          <w:bCs/>
        </w:rPr>
        <w:t xml:space="preserve">Slide 1 / </w:t>
      </w:r>
      <w:r w:rsidR="00433460" w:rsidRPr="00E642C9">
        <w:rPr>
          <w:b/>
          <w:bCs/>
        </w:rPr>
        <w:t>Title</w:t>
      </w:r>
      <w:r w:rsidRPr="00E642C9">
        <w:rPr>
          <w:b/>
          <w:bCs/>
        </w:rPr>
        <w:t xml:space="preserve"> Slide </w:t>
      </w:r>
    </w:p>
    <w:p w14:paraId="77A5542D" w14:textId="588A05B8" w:rsidR="00433460" w:rsidRDefault="00AB565C" w:rsidP="00E642C9">
      <w:pPr>
        <w:pStyle w:val="NoSpacing"/>
        <w:ind w:left="432"/>
      </w:pPr>
      <w:r>
        <w:t>Disproportionality in Special Education</w:t>
      </w:r>
      <w:r w:rsidR="00D97744">
        <w:t>: Part 2</w:t>
      </w:r>
      <w:r>
        <w:t xml:space="preserve"> </w:t>
      </w:r>
      <w:r w:rsidR="00E642C9">
        <w:br/>
      </w:r>
    </w:p>
    <w:p w14:paraId="1C9B397C" w14:textId="11DDCB45" w:rsidR="007228D2" w:rsidRPr="00E642C9" w:rsidRDefault="007228D2" w:rsidP="00E642C9">
      <w:pPr>
        <w:rPr>
          <w:b/>
          <w:bCs/>
        </w:rPr>
      </w:pPr>
      <w:r w:rsidRPr="00E642C9">
        <w:rPr>
          <w:b/>
          <w:bCs/>
        </w:rPr>
        <w:t>Slide 2</w:t>
      </w:r>
      <w:r w:rsidR="006F5865" w:rsidRPr="00E642C9">
        <w:rPr>
          <w:b/>
          <w:bCs/>
        </w:rPr>
        <w:t xml:space="preserve"> </w:t>
      </w:r>
      <w:r w:rsidRPr="00E642C9">
        <w:rPr>
          <w:b/>
          <w:bCs/>
        </w:rPr>
        <w:t xml:space="preserve">/ </w:t>
      </w:r>
      <w:r w:rsidR="006D2AC9">
        <w:rPr>
          <w:b/>
          <w:bCs/>
        </w:rPr>
        <w:t>Ready for Some Heavy Data Lifting?</w:t>
      </w:r>
      <w:r w:rsidRPr="00E642C9">
        <w:rPr>
          <w:b/>
          <w:bCs/>
        </w:rPr>
        <w:t xml:space="preserve"> </w:t>
      </w:r>
    </w:p>
    <w:p w14:paraId="6F188507" w14:textId="70EB3537" w:rsidR="00E642C9" w:rsidRDefault="0022692E" w:rsidP="0022692E">
      <w:pPr>
        <w:pStyle w:val="NoSpacing"/>
        <w:ind w:left="792" w:right="-486"/>
      </w:pPr>
      <w:r>
        <w:t xml:space="preserve">[Photo of a man lifting a </w:t>
      </w:r>
      <w:r w:rsidR="00735D7D">
        <w:t xml:space="preserve">25-pound </w:t>
      </w:r>
      <w:r>
        <w:t>hand weight]</w:t>
      </w:r>
    </w:p>
    <w:p w14:paraId="647C780B" w14:textId="77777777" w:rsidR="00611A55" w:rsidRDefault="00E642C9" w:rsidP="00E642C9">
      <w:pPr>
        <w:rPr>
          <w:b/>
          <w:bCs/>
        </w:rPr>
      </w:pPr>
      <w:r>
        <w:rPr>
          <w:b/>
          <w:bCs/>
        </w:rPr>
        <w:br/>
      </w:r>
      <w:r w:rsidRPr="00E642C9">
        <w:rPr>
          <w:b/>
          <w:bCs/>
        </w:rPr>
        <w:t xml:space="preserve">Slide </w:t>
      </w:r>
      <w:r>
        <w:rPr>
          <w:b/>
          <w:bCs/>
        </w:rPr>
        <w:t>3</w:t>
      </w:r>
      <w:r w:rsidRPr="00E642C9">
        <w:rPr>
          <w:b/>
          <w:bCs/>
        </w:rPr>
        <w:t xml:space="preserve"> / </w:t>
      </w:r>
      <w:r w:rsidR="00611A55">
        <w:rPr>
          <w:b/>
          <w:bCs/>
        </w:rPr>
        <w:t>Content to be Covered</w:t>
      </w:r>
    </w:p>
    <w:p w14:paraId="3EB5A11A" w14:textId="56AA75F7" w:rsidR="00784806" w:rsidRPr="00611A55" w:rsidRDefault="00692612" w:rsidP="00611A55">
      <w:pPr>
        <w:ind w:left="720"/>
        <w:rPr>
          <w:i/>
          <w:iCs/>
        </w:rPr>
      </w:pPr>
      <w:r w:rsidRPr="00611A55">
        <w:rPr>
          <w:i/>
          <w:iCs/>
        </w:rPr>
        <w:t>This training session picks up where Session 1 left off...</w:t>
      </w:r>
      <w:r w:rsidR="00E642C9" w:rsidRPr="00611A55">
        <w:rPr>
          <w:i/>
          <w:iCs/>
        </w:rPr>
        <w:t xml:space="preserve"> </w:t>
      </w:r>
      <w:bookmarkEnd w:id="1"/>
    </w:p>
    <w:p w14:paraId="7188962E" w14:textId="77777777" w:rsidR="00654425" w:rsidRDefault="00654425" w:rsidP="00654425">
      <w:pPr>
        <w:ind w:left="720"/>
      </w:pPr>
      <w:r>
        <w:t>How is disproportionality calculated?</w:t>
      </w:r>
    </w:p>
    <w:p w14:paraId="1FF6544E" w14:textId="77777777" w:rsidR="00654425" w:rsidRDefault="00654425" w:rsidP="00654425">
      <w:pPr>
        <w:ind w:left="720"/>
      </w:pPr>
      <w:r>
        <w:t>What is risk ratio analysis?</w:t>
      </w:r>
    </w:p>
    <w:p w14:paraId="480CF5E6" w14:textId="77777777" w:rsidR="00654425" w:rsidRDefault="00654425" w:rsidP="00654425">
      <w:pPr>
        <w:ind w:left="720"/>
      </w:pPr>
      <w:r>
        <w:t>What’s the “standard methodology” that states are using in calculating disproportionality?</w:t>
      </w:r>
    </w:p>
    <w:p w14:paraId="7A98F0CC" w14:textId="6F00E2A1" w:rsidR="00DC1020" w:rsidRDefault="00654425" w:rsidP="00654425">
      <w:pPr>
        <w:ind w:left="720"/>
      </w:pPr>
      <w:r>
        <w:t>What must states do if they find significant disproportionality in an LEA or in the state?</w:t>
      </w:r>
    </w:p>
    <w:p w14:paraId="100328C9" w14:textId="77777777" w:rsidR="00654425" w:rsidRDefault="00654425" w:rsidP="00654425"/>
    <w:p w14:paraId="08AC0CDE" w14:textId="6F221085" w:rsidR="007E0A09" w:rsidRDefault="00DC1020" w:rsidP="007E0A09">
      <w:pPr>
        <w:rPr>
          <w:b/>
          <w:bCs/>
        </w:rPr>
      </w:pPr>
      <w:r w:rsidRPr="007E0A09">
        <w:rPr>
          <w:b/>
          <w:bCs/>
        </w:rPr>
        <w:t>Slide 4</w:t>
      </w:r>
      <w:r>
        <w:t xml:space="preserve"> </w:t>
      </w:r>
      <w:r w:rsidR="007E0A09">
        <w:t xml:space="preserve">/ </w:t>
      </w:r>
      <w:r w:rsidR="000922C1">
        <w:rPr>
          <w:b/>
          <w:bCs/>
        </w:rPr>
        <w:t>Calculating</w:t>
      </w:r>
      <w:r w:rsidR="007E0A09">
        <w:rPr>
          <w:b/>
          <w:bCs/>
        </w:rPr>
        <w:t xml:space="preserve"> Disproportionality</w:t>
      </w:r>
    </w:p>
    <w:p w14:paraId="7DAE8324" w14:textId="6CD39AA9" w:rsidR="00523D3E" w:rsidRDefault="00C5533A" w:rsidP="00C5533A">
      <w:pPr>
        <w:ind w:left="720"/>
      </w:pPr>
      <w:r w:rsidRPr="00C5533A">
        <w:rPr>
          <w:i/>
          <w:iCs/>
        </w:rPr>
        <w:t>States, LEAs, and schools must:</w:t>
      </w:r>
    </w:p>
    <w:p w14:paraId="4035D5F0" w14:textId="7F213738" w:rsidR="009851E1" w:rsidRDefault="001E3B45" w:rsidP="001E3B45">
      <w:pPr>
        <w:pStyle w:val="ListParagraph"/>
        <w:numPr>
          <w:ilvl w:val="0"/>
          <w:numId w:val="18"/>
        </w:numPr>
      </w:pPr>
      <w:r w:rsidRPr="001E3B45">
        <w:t>Assemble student data of interest</w:t>
      </w:r>
      <w:r w:rsidRPr="001E3B45">
        <w:br/>
        <w:t>(Identification, placement, disciplinary removals)</w:t>
      </w:r>
      <w:r>
        <w:br/>
      </w:r>
    </w:p>
    <w:p w14:paraId="38506D42" w14:textId="08C53DF6" w:rsidR="001E3B45" w:rsidRDefault="000430FE" w:rsidP="00801299">
      <w:pPr>
        <w:pStyle w:val="ListParagraph"/>
        <w:numPr>
          <w:ilvl w:val="0"/>
          <w:numId w:val="18"/>
        </w:numPr>
      </w:pPr>
      <w:r>
        <w:t xml:space="preserve">Number crunch that data (AKA </w:t>
      </w:r>
      <w:r w:rsidRPr="00D35D83">
        <w:rPr>
          <w:i/>
          <w:iCs/>
        </w:rPr>
        <w:t>data analysis</w:t>
      </w:r>
      <w:r>
        <w:t>)</w:t>
      </w:r>
      <w:r>
        <w:t xml:space="preserve"> </w:t>
      </w:r>
      <w:r w:rsidR="00D35D83">
        <w:t>u</w:t>
      </w:r>
      <w:r>
        <w:t>sing the standard methodology</w:t>
      </w:r>
    </w:p>
    <w:p w14:paraId="59831B83" w14:textId="77777777" w:rsidR="00D35D83" w:rsidRDefault="00D35D83" w:rsidP="008203C5">
      <w:pPr>
        <w:rPr>
          <w:b/>
          <w:bCs/>
        </w:rPr>
      </w:pPr>
    </w:p>
    <w:p w14:paraId="40768747" w14:textId="60056CC8" w:rsidR="008203C5" w:rsidRPr="00C51C25" w:rsidRDefault="008203C5" w:rsidP="008203C5">
      <w:r w:rsidRPr="007E0A09">
        <w:rPr>
          <w:b/>
          <w:bCs/>
        </w:rPr>
        <w:lastRenderedPageBreak/>
        <w:t xml:space="preserve">Slide </w:t>
      </w:r>
      <w:r>
        <w:rPr>
          <w:b/>
          <w:bCs/>
        </w:rPr>
        <w:t>5</w:t>
      </w:r>
      <w:r>
        <w:t xml:space="preserve"> / </w:t>
      </w:r>
      <w:r w:rsidR="00C51C25">
        <w:rPr>
          <w:b/>
          <w:bCs/>
        </w:rPr>
        <w:t xml:space="preserve">Calculating Disproportionality </w:t>
      </w:r>
      <w:r w:rsidR="00C51C25" w:rsidRPr="007E0A09">
        <w:rPr>
          <w:i/>
          <w:iCs/>
        </w:rPr>
        <w:t>(continued)</w:t>
      </w:r>
    </w:p>
    <w:p w14:paraId="7B1A7139" w14:textId="1B3C7739" w:rsidR="008203C5" w:rsidRDefault="009741F6" w:rsidP="009741F6">
      <w:pPr>
        <w:ind w:left="720"/>
      </w:pPr>
      <w:r w:rsidRPr="009741F6">
        <w:t xml:space="preserve">About that number crunching… </w:t>
      </w:r>
      <w:r w:rsidRPr="009741F6">
        <w:br/>
        <w:t>(AKA “</w:t>
      </w:r>
      <w:r w:rsidRPr="009741F6">
        <w:rPr>
          <w:i/>
          <w:iCs/>
        </w:rPr>
        <w:t>risk ratio analysis</w:t>
      </w:r>
      <w:r w:rsidRPr="009741F6">
        <w:t>”)</w:t>
      </w:r>
    </w:p>
    <w:p w14:paraId="79B688C4" w14:textId="14D83F47" w:rsidR="009741F6" w:rsidRDefault="00351F16" w:rsidP="009741F6">
      <w:pPr>
        <w:ind w:left="720"/>
      </w:pPr>
      <w:r>
        <w:t>Terms to Know:</w:t>
      </w:r>
    </w:p>
    <w:p w14:paraId="5768B3A8" w14:textId="77777777" w:rsidR="00351F16" w:rsidRDefault="00351F16" w:rsidP="00351F16">
      <w:pPr>
        <w:pStyle w:val="ListParagraph"/>
        <w:numPr>
          <w:ilvl w:val="0"/>
          <w:numId w:val="19"/>
        </w:numPr>
      </w:pPr>
      <w:r>
        <w:t>Risk</w:t>
      </w:r>
    </w:p>
    <w:p w14:paraId="66C10ACC" w14:textId="77777777" w:rsidR="00351F16" w:rsidRDefault="00351F16" w:rsidP="00351F16">
      <w:pPr>
        <w:pStyle w:val="ListParagraph"/>
        <w:numPr>
          <w:ilvl w:val="0"/>
          <w:numId w:val="19"/>
        </w:numPr>
      </w:pPr>
      <w:r>
        <w:t>Risk ratio</w:t>
      </w:r>
    </w:p>
    <w:p w14:paraId="16C81AFD" w14:textId="77777777" w:rsidR="00351F16" w:rsidRDefault="00351F16" w:rsidP="00351F16">
      <w:pPr>
        <w:pStyle w:val="ListParagraph"/>
        <w:numPr>
          <w:ilvl w:val="0"/>
          <w:numId w:val="19"/>
        </w:numPr>
      </w:pPr>
      <w:r>
        <w:t>Risk ratio analysis</w:t>
      </w:r>
    </w:p>
    <w:p w14:paraId="15C01E73" w14:textId="77777777" w:rsidR="00351F16" w:rsidRDefault="00351F16" w:rsidP="00351F16">
      <w:pPr>
        <w:pStyle w:val="ListParagraph"/>
        <w:numPr>
          <w:ilvl w:val="0"/>
          <w:numId w:val="19"/>
        </w:numPr>
      </w:pPr>
      <w:r>
        <w:t>Risk ratio threshold</w:t>
      </w:r>
    </w:p>
    <w:p w14:paraId="47004EB9" w14:textId="3422DCA1" w:rsidR="00351F16" w:rsidRPr="009741F6" w:rsidRDefault="00351F16" w:rsidP="00351F16">
      <w:pPr>
        <w:pStyle w:val="ListParagraph"/>
        <w:numPr>
          <w:ilvl w:val="0"/>
          <w:numId w:val="19"/>
        </w:numPr>
      </w:pPr>
      <w:r>
        <w:t>Comparison group</w:t>
      </w:r>
      <w:r>
        <w:br/>
      </w:r>
    </w:p>
    <w:p w14:paraId="0E5EBE18" w14:textId="62F236C8" w:rsidR="00AE1E57" w:rsidRDefault="00AE1E57" w:rsidP="00AE1E57">
      <w:pPr>
        <w:rPr>
          <w:b/>
          <w:bCs/>
        </w:rPr>
      </w:pPr>
      <w:r w:rsidRPr="007E0A09">
        <w:rPr>
          <w:b/>
          <w:bCs/>
        </w:rPr>
        <w:t xml:space="preserve">Slide </w:t>
      </w:r>
      <w:r>
        <w:rPr>
          <w:b/>
          <w:bCs/>
        </w:rPr>
        <w:t>6</w:t>
      </w:r>
      <w:r>
        <w:t xml:space="preserve"> / </w:t>
      </w:r>
      <w:r w:rsidR="000A5DCE" w:rsidRPr="000A5DCE">
        <w:rPr>
          <w:b/>
          <w:bCs/>
        </w:rPr>
        <w:t>About “Risk Ratio Analysis”</w:t>
      </w:r>
      <w:r w:rsidR="000A5DCE" w:rsidRPr="000A5DCE">
        <w:rPr>
          <w:b/>
          <w:bCs/>
        </w:rPr>
        <w:t xml:space="preserve"> </w:t>
      </w:r>
    </w:p>
    <w:p w14:paraId="281CBDDD" w14:textId="77777777" w:rsidR="005C755B" w:rsidRPr="005C755B" w:rsidRDefault="005C755B" w:rsidP="005C755B">
      <w:pPr>
        <w:ind w:left="720"/>
      </w:pPr>
      <w:r w:rsidRPr="005C755B">
        <w:t>“Risk Ratio Analysis”</w:t>
      </w:r>
    </w:p>
    <w:p w14:paraId="021C2EF0" w14:textId="77777777" w:rsidR="005C755B" w:rsidRPr="005C755B" w:rsidRDefault="005C755B" w:rsidP="005C755B">
      <w:pPr>
        <w:pStyle w:val="ListParagraph"/>
        <w:numPr>
          <w:ilvl w:val="0"/>
          <w:numId w:val="20"/>
        </w:numPr>
      </w:pPr>
      <w:r w:rsidRPr="005C755B">
        <w:t>Is commonly used in many fields (medicine, insurance, business, education)</w:t>
      </w:r>
    </w:p>
    <w:p w14:paraId="0E415594" w14:textId="77777777" w:rsidR="005C755B" w:rsidRPr="005C755B" w:rsidRDefault="005C755B" w:rsidP="005C755B">
      <w:pPr>
        <w:pStyle w:val="ListParagraph"/>
        <w:numPr>
          <w:ilvl w:val="0"/>
          <w:numId w:val="20"/>
        </w:numPr>
      </w:pPr>
      <w:r w:rsidRPr="005C755B">
        <w:t>Relies on analyzing data, data, data</w:t>
      </w:r>
    </w:p>
    <w:p w14:paraId="7B7CBE92" w14:textId="77777777" w:rsidR="005C755B" w:rsidRPr="005C755B" w:rsidRDefault="005C755B" w:rsidP="005C755B">
      <w:pPr>
        <w:pStyle w:val="ListParagraph"/>
        <w:numPr>
          <w:ilvl w:val="0"/>
          <w:numId w:val="20"/>
        </w:numPr>
      </w:pPr>
      <w:r w:rsidRPr="005C755B">
        <w:t>Requires having a comparison group</w:t>
      </w:r>
    </w:p>
    <w:p w14:paraId="581A23BB" w14:textId="7BA7D388" w:rsidR="00DA59B3" w:rsidRPr="005C755B" w:rsidRDefault="005C755B" w:rsidP="005C755B">
      <w:pPr>
        <w:pStyle w:val="ListParagraph"/>
        <w:numPr>
          <w:ilvl w:val="0"/>
          <w:numId w:val="20"/>
        </w:numPr>
      </w:pPr>
      <w:r w:rsidRPr="005C755B">
        <w:t xml:space="preserve">Helps decision makers see if one group of people is more likely (or less) than another to: </w:t>
      </w:r>
      <w:r w:rsidRPr="005C755B">
        <w:rPr>
          <w:i/>
          <w:iCs/>
        </w:rPr>
        <w:t>(fill in the blank)</w:t>
      </w:r>
    </w:p>
    <w:p w14:paraId="3DE9680E" w14:textId="1EB2571A" w:rsidR="00DA59B3" w:rsidRDefault="00616B31" w:rsidP="00616B31">
      <w:pPr>
        <w:ind w:left="720"/>
      </w:pPr>
      <w:r w:rsidRPr="00503C4D">
        <w:rPr>
          <w:b/>
          <w:bCs/>
        </w:rPr>
        <w:t>Examples</w:t>
      </w:r>
      <w:r w:rsidRPr="00616B31">
        <w:t xml:space="preserve"> | The insurance world uses risk ratio analysis to see if one group is more likely than another group to:</w:t>
      </w:r>
    </w:p>
    <w:p w14:paraId="7DA2590D" w14:textId="77777777" w:rsidR="00503C4D" w:rsidRDefault="00503C4D" w:rsidP="00503C4D">
      <w:pPr>
        <w:pStyle w:val="ListParagraph"/>
        <w:numPr>
          <w:ilvl w:val="0"/>
          <w:numId w:val="21"/>
        </w:numPr>
      </w:pPr>
      <w:r>
        <w:t>Stay healthy?</w:t>
      </w:r>
    </w:p>
    <w:p w14:paraId="583F5603" w14:textId="77777777" w:rsidR="00503C4D" w:rsidRDefault="00503C4D" w:rsidP="00503C4D">
      <w:pPr>
        <w:pStyle w:val="ListParagraph"/>
        <w:numPr>
          <w:ilvl w:val="0"/>
          <w:numId w:val="21"/>
        </w:numPr>
      </w:pPr>
      <w:r>
        <w:t>Pay back a loan?</w:t>
      </w:r>
    </w:p>
    <w:p w14:paraId="10D38889" w14:textId="77777777" w:rsidR="00503C4D" w:rsidRDefault="00503C4D" w:rsidP="00503C4D">
      <w:pPr>
        <w:pStyle w:val="ListParagraph"/>
        <w:numPr>
          <w:ilvl w:val="0"/>
          <w:numId w:val="21"/>
        </w:numPr>
      </w:pPr>
      <w:r>
        <w:t>Have their house broken into?</w:t>
      </w:r>
    </w:p>
    <w:p w14:paraId="3AC4503F" w14:textId="1E29A246" w:rsidR="00503C4D" w:rsidRPr="00616B31" w:rsidRDefault="00503C4D" w:rsidP="00503C4D">
      <w:pPr>
        <w:pStyle w:val="ListParagraph"/>
        <w:numPr>
          <w:ilvl w:val="0"/>
          <w:numId w:val="21"/>
        </w:numPr>
      </w:pPr>
      <w:r>
        <w:t>Get into a car wreck?</w:t>
      </w:r>
    </w:p>
    <w:p w14:paraId="4FC47B86" w14:textId="77777777" w:rsidR="00616B31" w:rsidRDefault="00616B31" w:rsidP="00616B31">
      <w:pPr>
        <w:ind w:left="720"/>
        <w:rPr>
          <w:b/>
          <w:bCs/>
        </w:rPr>
      </w:pPr>
    </w:p>
    <w:p w14:paraId="6460B5ED" w14:textId="492C1042" w:rsidR="00DA59B3" w:rsidRDefault="00DA59B3" w:rsidP="00DA59B3">
      <w:pPr>
        <w:rPr>
          <w:b/>
          <w:bCs/>
        </w:rPr>
      </w:pPr>
      <w:r w:rsidRPr="007E0A09">
        <w:rPr>
          <w:b/>
          <w:bCs/>
        </w:rPr>
        <w:t xml:space="preserve">Slide </w:t>
      </w:r>
      <w:r>
        <w:rPr>
          <w:b/>
          <w:bCs/>
        </w:rPr>
        <w:t>7</w:t>
      </w:r>
      <w:r>
        <w:t xml:space="preserve"> / </w:t>
      </w:r>
      <w:r w:rsidR="00921A35" w:rsidRPr="00921A35">
        <w:rPr>
          <w:b/>
          <w:bCs/>
        </w:rPr>
        <w:t>Terms to Know—“Risk”</w:t>
      </w:r>
      <w:r>
        <w:rPr>
          <w:b/>
          <w:bCs/>
        </w:rPr>
        <w:t xml:space="preserve"> </w:t>
      </w:r>
    </w:p>
    <w:p w14:paraId="38C1854A" w14:textId="087A310C" w:rsidR="00394447" w:rsidRDefault="0009296A" w:rsidP="0009296A">
      <w:pPr>
        <w:ind w:left="720"/>
      </w:pPr>
      <w:r>
        <w:rPr>
          <w:b/>
          <w:bCs/>
        </w:rPr>
        <w:t>Risk</w:t>
      </w:r>
      <w:r w:rsidR="00EA4487">
        <w:t xml:space="preserve"> | </w:t>
      </w:r>
      <w:r>
        <w:t>The likelihood of “X” outcome for “Y” racial or ethnic group (or groups)</w:t>
      </w:r>
      <w:r>
        <w:br/>
      </w:r>
      <w:r w:rsidRPr="0009296A">
        <w:rPr>
          <w:i/>
          <w:iCs/>
        </w:rPr>
        <w:t>Outcomes of concern: identification, placement, disciplinary removal</w:t>
      </w:r>
    </w:p>
    <w:p w14:paraId="715B9A8D" w14:textId="77777777" w:rsidR="00BA5506" w:rsidRPr="00BA5506" w:rsidRDefault="00BA5506" w:rsidP="00BA5506">
      <w:pPr>
        <w:ind w:left="720"/>
        <w:rPr>
          <w:b/>
          <w:bCs/>
        </w:rPr>
      </w:pPr>
      <w:r w:rsidRPr="00BA5506">
        <w:rPr>
          <w:b/>
          <w:bCs/>
        </w:rPr>
        <w:t>How "Risk" is Calculated</w:t>
      </w:r>
    </w:p>
    <w:p w14:paraId="6245003E" w14:textId="3C1CF0E4" w:rsidR="00BA5506" w:rsidRPr="00BA5506" w:rsidRDefault="00BA5506" w:rsidP="00BA5506">
      <w:pPr>
        <w:ind w:left="720"/>
      </w:pPr>
      <w:r>
        <w:t>Number</w:t>
      </w:r>
      <w:r w:rsidRPr="00BA5506">
        <w:t xml:space="preserve"> of children from “Y” racial or ethnic group (or groups) experiencing “X” outcome</w:t>
      </w:r>
    </w:p>
    <w:p w14:paraId="0C272F75" w14:textId="77777777" w:rsidR="00BA5506" w:rsidRPr="00BA5506" w:rsidRDefault="00BA5506" w:rsidP="00BA5506">
      <w:pPr>
        <w:ind w:left="720"/>
      </w:pPr>
      <w:r w:rsidRPr="00BA5506">
        <w:t>divided by</w:t>
      </w:r>
    </w:p>
    <w:p w14:paraId="56544251" w14:textId="1914D0BF" w:rsidR="00BA5506" w:rsidRPr="00BA5506" w:rsidRDefault="00BA5506" w:rsidP="00BA5506">
      <w:pPr>
        <w:ind w:left="720"/>
      </w:pPr>
      <w:r>
        <w:t>Number</w:t>
      </w:r>
      <w:r w:rsidRPr="00BA5506">
        <w:t xml:space="preserve"> of children from “Y” racial or ethnic group (or groups) enrolled in the LEA</w:t>
      </w:r>
    </w:p>
    <w:p w14:paraId="7980FAB5" w14:textId="77777777" w:rsidR="00BA5506" w:rsidRPr="00BA5506" w:rsidRDefault="00BA5506" w:rsidP="00BA5506">
      <w:pPr>
        <w:ind w:left="720"/>
      </w:pPr>
      <w:r w:rsidRPr="00BA5506">
        <w:t>Multiple the result by 100</w:t>
      </w:r>
    </w:p>
    <w:p w14:paraId="0521BB91" w14:textId="126AEC64" w:rsidR="0009296A" w:rsidRDefault="008219F4" w:rsidP="00BA5506">
      <w:pPr>
        <w:ind w:left="720"/>
      </w:pPr>
      <w:r>
        <w:t>=</w:t>
      </w:r>
      <w:r w:rsidR="00BA5506" w:rsidRPr="00BA5506">
        <w:t xml:space="preserve"> </w:t>
      </w:r>
      <w:r w:rsidR="00BA5506" w:rsidRPr="0059470F">
        <w:rPr>
          <w:b/>
          <w:bCs/>
        </w:rPr>
        <w:t>Risk</w:t>
      </w:r>
    </w:p>
    <w:p w14:paraId="2AFB7971" w14:textId="77777777" w:rsidR="008219F4" w:rsidRPr="00BA5506" w:rsidRDefault="008219F4" w:rsidP="00BA5506">
      <w:pPr>
        <w:ind w:left="720"/>
      </w:pPr>
    </w:p>
    <w:p w14:paraId="50064A44" w14:textId="1AEDC62A" w:rsidR="00394447" w:rsidRDefault="00394447" w:rsidP="00394447">
      <w:pPr>
        <w:rPr>
          <w:b/>
          <w:bCs/>
        </w:rPr>
      </w:pPr>
      <w:r w:rsidRPr="007E0A09">
        <w:rPr>
          <w:b/>
          <w:bCs/>
        </w:rPr>
        <w:lastRenderedPageBreak/>
        <w:t xml:space="preserve">Slide </w:t>
      </w:r>
      <w:r>
        <w:rPr>
          <w:b/>
          <w:bCs/>
        </w:rPr>
        <w:t xml:space="preserve">8 </w:t>
      </w:r>
      <w:r>
        <w:t xml:space="preserve">/ </w:t>
      </w:r>
      <w:r w:rsidR="003F5B14" w:rsidRPr="003F5B14">
        <w:rPr>
          <w:b/>
          <w:bCs/>
        </w:rPr>
        <w:t>Now in everyday terms…an example!</w:t>
      </w:r>
    </w:p>
    <w:p w14:paraId="2F177E55" w14:textId="7B9A9933" w:rsidR="002A68CF" w:rsidRDefault="002A68CF" w:rsidP="002A68CF">
      <w:pPr>
        <w:ind w:left="720"/>
      </w:pPr>
      <w:r>
        <w:t xml:space="preserve">Risk  </w:t>
      </w:r>
      <w:r>
        <w:t>|</w:t>
      </w:r>
      <w:r>
        <w:t xml:space="preserve">  The likelihood of being identified as having “intellectual disabilities” if you’re a Black/African American student</w:t>
      </w:r>
    </w:p>
    <w:p w14:paraId="13EAA81D" w14:textId="77777777" w:rsidR="002A68CF" w:rsidRDefault="002A68CF" w:rsidP="002A68CF">
      <w:pPr>
        <w:ind w:left="720"/>
      </w:pPr>
      <w:r>
        <w:t>In School District ABC:</w:t>
      </w:r>
    </w:p>
    <w:p w14:paraId="2C40143D" w14:textId="77777777" w:rsidR="002A68CF" w:rsidRDefault="002A68CF" w:rsidP="002A68CF">
      <w:pPr>
        <w:pStyle w:val="ListParagraph"/>
        <w:numPr>
          <w:ilvl w:val="0"/>
          <w:numId w:val="22"/>
        </w:numPr>
      </w:pPr>
      <w:r w:rsidRPr="0051364B">
        <w:rPr>
          <w:b/>
          <w:bCs/>
        </w:rPr>
        <w:t>250</w:t>
      </w:r>
      <w:r>
        <w:t xml:space="preserve"> Black/African American children are identified as having “intellectual disabilities” </w:t>
      </w:r>
    </w:p>
    <w:p w14:paraId="31552860" w14:textId="77777777" w:rsidR="002A68CF" w:rsidRDefault="002A68CF" w:rsidP="0051364B">
      <w:pPr>
        <w:ind w:left="1080"/>
      </w:pPr>
      <w:r>
        <w:t>divided by</w:t>
      </w:r>
    </w:p>
    <w:p w14:paraId="2AFAB7E7" w14:textId="77777777" w:rsidR="002A68CF" w:rsidRDefault="002A68CF" w:rsidP="0051364B">
      <w:pPr>
        <w:pStyle w:val="ListParagraph"/>
        <w:numPr>
          <w:ilvl w:val="0"/>
          <w:numId w:val="22"/>
        </w:numPr>
      </w:pPr>
      <w:r w:rsidRPr="0051364B">
        <w:rPr>
          <w:b/>
          <w:bCs/>
        </w:rPr>
        <w:t>3,000</w:t>
      </w:r>
      <w:r>
        <w:t xml:space="preserve"> | The total number of Black/African American children enrolled in School District ABC </w:t>
      </w:r>
    </w:p>
    <w:p w14:paraId="6F6DE844" w14:textId="77777777" w:rsidR="002A68CF" w:rsidRDefault="002A68CF" w:rsidP="0051364B">
      <w:pPr>
        <w:ind w:left="1080"/>
      </w:pPr>
      <w:r>
        <w:t>Result: .08</w:t>
      </w:r>
    </w:p>
    <w:p w14:paraId="66746041" w14:textId="77777777" w:rsidR="002A68CF" w:rsidRDefault="002A68CF" w:rsidP="00010221">
      <w:pPr>
        <w:ind w:left="1080"/>
      </w:pPr>
      <w:r>
        <w:t>Multiply result by 100</w:t>
      </w:r>
    </w:p>
    <w:p w14:paraId="4E64AF66" w14:textId="5F256ABC" w:rsidR="00D76CBF" w:rsidRDefault="002A68CF" w:rsidP="00960550">
      <w:pPr>
        <w:ind w:left="1080"/>
      </w:pPr>
      <w:r>
        <w:t xml:space="preserve">= 8 (Risk) </w:t>
      </w:r>
    </w:p>
    <w:p w14:paraId="40D72EB7" w14:textId="242843D8" w:rsidR="00D76CBF" w:rsidRDefault="00D76CBF" w:rsidP="00D76CBF">
      <w:pPr>
        <w:rPr>
          <w:b/>
          <w:bCs/>
        </w:rPr>
      </w:pPr>
      <w:r w:rsidRPr="007E0A09">
        <w:rPr>
          <w:b/>
          <w:bCs/>
        </w:rPr>
        <w:t xml:space="preserve">Slide </w:t>
      </w:r>
      <w:r>
        <w:rPr>
          <w:b/>
          <w:bCs/>
        </w:rPr>
        <w:t>9</w:t>
      </w:r>
      <w:r>
        <w:t xml:space="preserve"> / </w:t>
      </w:r>
      <w:r w:rsidR="00960550" w:rsidRPr="00960550">
        <w:rPr>
          <w:b/>
          <w:bCs/>
        </w:rPr>
        <w:t>Terms to Know—“Comparison Group”</w:t>
      </w:r>
    </w:p>
    <w:p w14:paraId="7E26E900" w14:textId="42E07D4F" w:rsidR="00993697" w:rsidRDefault="00993697" w:rsidP="00993697">
      <w:pPr>
        <w:ind w:left="720"/>
      </w:pPr>
      <w:r w:rsidRPr="00993697">
        <w:rPr>
          <w:b/>
          <w:bCs/>
        </w:rPr>
        <w:t>Comparison Group</w:t>
      </w:r>
      <w:r>
        <w:t xml:space="preserve"> </w:t>
      </w:r>
      <w:r>
        <w:t xml:space="preserve">| </w:t>
      </w:r>
      <w:r>
        <w:t xml:space="preserve">Consists of the children in </w:t>
      </w:r>
      <w:r w:rsidRPr="00993697">
        <w:rPr>
          <w:b/>
          <w:bCs/>
          <w:i/>
          <w:iCs/>
        </w:rPr>
        <w:t>all other</w:t>
      </w:r>
      <w:r>
        <w:t xml:space="preserve"> racial or ethnic groups within an LEA or within the state</w:t>
      </w:r>
    </w:p>
    <w:p w14:paraId="7851853A" w14:textId="3B8CF099" w:rsidR="00993697" w:rsidRPr="00993697" w:rsidRDefault="00993697" w:rsidP="00993697">
      <w:pPr>
        <w:ind w:left="720"/>
        <w:rPr>
          <w:u w:val="single"/>
        </w:rPr>
      </w:pPr>
      <w:r w:rsidRPr="00993697">
        <w:rPr>
          <w:u w:val="single"/>
        </w:rPr>
        <w:t>How to calculate the risk of the comparison group</w:t>
      </w:r>
    </w:p>
    <w:p w14:paraId="6A70F4B5" w14:textId="2A6B02C8" w:rsidR="00993697" w:rsidRDefault="004C3477" w:rsidP="00993697">
      <w:pPr>
        <w:ind w:left="720"/>
      </w:pPr>
      <w:r>
        <w:t>Number</w:t>
      </w:r>
      <w:r w:rsidR="00993697">
        <w:t xml:space="preserve"> of children from all other racial or ethnic groups experiencing “X” outcome</w:t>
      </w:r>
    </w:p>
    <w:p w14:paraId="0A68C0AA" w14:textId="62112563" w:rsidR="00993697" w:rsidRDefault="004C3477" w:rsidP="00993697">
      <w:pPr>
        <w:ind w:left="720"/>
      </w:pPr>
      <w:r>
        <w:t>Divided by</w:t>
      </w:r>
    </w:p>
    <w:p w14:paraId="6FB3E55D" w14:textId="63AF0148" w:rsidR="00993697" w:rsidRDefault="004C3477" w:rsidP="00993697">
      <w:pPr>
        <w:ind w:left="720"/>
      </w:pPr>
      <w:r>
        <w:t>Number</w:t>
      </w:r>
      <w:r w:rsidR="00993697">
        <w:t xml:space="preserve"> of children from all other racial or ethnic groups enrolled in the LEA</w:t>
      </w:r>
    </w:p>
    <w:p w14:paraId="31E48CC7" w14:textId="77777777" w:rsidR="004C3477" w:rsidRPr="00BA5506" w:rsidRDefault="004C3477" w:rsidP="004C3477">
      <w:pPr>
        <w:ind w:left="720"/>
      </w:pPr>
      <w:r w:rsidRPr="00BA5506">
        <w:t>Multiple the result by 100</w:t>
      </w:r>
    </w:p>
    <w:p w14:paraId="558A71EF" w14:textId="6263EC77" w:rsidR="00394447" w:rsidRDefault="004C3477" w:rsidP="00993697">
      <w:pPr>
        <w:ind w:left="720"/>
        <w:rPr>
          <w:b/>
          <w:bCs/>
        </w:rPr>
      </w:pPr>
      <w:r>
        <w:t xml:space="preserve">= </w:t>
      </w:r>
      <w:r w:rsidRPr="005478E3">
        <w:rPr>
          <w:b/>
          <w:bCs/>
        </w:rPr>
        <w:t>Risk of the Comparison Group</w:t>
      </w:r>
    </w:p>
    <w:p w14:paraId="2E737868" w14:textId="77777777" w:rsidR="005478E3" w:rsidRPr="005478E3" w:rsidRDefault="005478E3" w:rsidP="00993697">
      <w:pPr>
        <w:ind w:left="720"/>
      </w:pPr>
    </w:p>
    <w:p w14:paraId="5722A703" w14:textId="0F4FCBEE" w:rsidR="005478E3" w:rsidRDefault="00AF53B9" w:rsidP="005478E3">
      <w:pPr>
        <w:rPr>
          <w:b/>
          <w:bCs/>
        </w:rPr>
      </w:pPr>
      <w:r w:rsidRPr="007E0A09">
        <w:rPr>
          <w:b/>
          <w:bCs/>
        </w:rPr>
        <w:t xml:space="preserve">Slide </w:t>
      </w:r>
      <w:r>
        <w:rPr>
          <w:b/>
          <w:bCs/>
        </w:rPr>
        <w:t>10</w:t>
      </w:r>
      <w:r>
        <w:t xml:space="preserve"> / </w:t>
      </w:r>
      <w:r w:rsidR="005478E3">
        <w:rPr>
          <w:b/>
          <w:bCs/>
        </w:rPr>
        <w:t xml:space="preserve">Another </w:t>
      </w:r>
      <w:r w:rsidR="00587D96">
        <w:rPr>
          <w:b/>
          <w:bCs/>
        </w:rPr>
        <w:t>e</w:t>
      </w:r>
      <w:r w:rsidR="005478E3">
        <w:rPr>
          <w:b/>
          <w:bCs/>
        </w:rPr>
        <w:t>xample</w:t>
      </w:r>
      <w:r w:rsidR="005478E3" w:rsidRPr="003F5B14">
        <w:rPr>
          <w:b/>
          <w:bCs/>
        </w:rPr>
        <w:t xml:space="preserve"> in everyday terms</w:t>
      </w:r>
    </w:p>
    <w:p w14:paraId="676E0A0F" w14:textId="5475BDA7" w:rsidR="005478E3" w:rsidRDefault="005478E3" w:rsidP="005478E3">
      <w:pPr>
        <w:ind w:left="720"/>
      </w:pPr>
      <w:r>
        <w:t xml:space="preserve">Risk  |  </w:t>
      </w:r>
      <w:r w:rsidR="00F6694C" w:rsidRPr="00F6694C">
        <w:t>The likelihood of being identified as having “intellectual disabilities” if you’re a child from all other racial/ethnic groups</w:t>
      </w:r>
    </w:p>
    <w:p w14:paraId="0384D7D7" w14:textId="77777777" w:rsidR="005478E3" w:rsidRDefault="005478E3" w:rsidP="005478E3">
      <w:pPr>
        <w:ind w:left="720"/>
      </w:pPr>
      <w:r>
        <w:t>In School District ABC:</w:t>
      </w:r>
    </w:p>
    <w:p w14:paraId="1A590649" w14:textId="09B84F18" w:rsidR="005478E3" w:rsidRDefault="00B15194" w:rsidP="005478E3">
      <w:pPr>
        <w:pStyle w:val="ListParagraph"/>
        <w:numPr>
          <w:ilvl w:val="0"/>
          <w:numId w:val="22"/>
        </w:numPr>
      </w:pPr>
      <w:r>
        <w:rPr>
          <w:b/>
          <w:bCs/>
        </w:rPr>
        <w:t>4</w:t>
      </w:r>
      <w:r w:rsidR="005478E3" w:rsidRPr="0051364B">
        <w:rPr>
          <w:b/>
          <w:bCs/>
        </w:rPr>
        <w:t>50</w:t>
      </w:r>
      <w:r w:rsidR="005478E3">
        <w:t xml:space="preserve"> </w:t>
      </w:r>
      <w:r w:rsidRPr="00B15194">
        <w:t xml:space="preserve">Children from all other racial/ethnic groups are </w:t>
      </w:r>
      <w:r w:rsidR="005478E3">
        <w:t xml:space="preserve">identified as having “intellectual disabilities” </w:t>
      </w:r>
    </w:p>
    <w:p w14:paraId="6452D451" w14:textId="77777777" w:rsidR="005478E3" w:rsidRDefault="005478E3" w:rsidP="005478E3">
      <w:pPr>
        <w:ind w:left="1080"/>
      </w:pPr>
      <w:r>
        <w:t>divided by</w:t>
      </w:r>
    </w:p>
    <w:p w14:paraId="58A8114C" w14:textId="2D111632" w:rsidR="005478E3" w:rsidRDefault="00B87DDF" w:rsidP="005478E3">
      <w:pPr>
        <w:pStyle w:val="ListParagraph"/>
        <w:numPr>
          <w:ilvl w:val="0"/>
          <w:numId w:val="22"/>
        </w:numPr>
      </w:pPr>
      <w:r>
        <w:rPr>
          <w:b/>
          <w:bCs/>
        </w:rPr>
        <w:t>7</w:t>
      </w:r>
      <w:r w:rsidR="005478E3" w:rsidRPr="0051364B">
        <w:rPr>
          <w:b/>
          <w:bCs/>
        </w:rPr>
        <w:t>,000</w:t>
      </w:r>
      <w:r w:rsidR="005478E3">
        <w:t xml:space="preserve"> | </w:t>
      </w:r>
      <w:r w:rsidRPr="00B87DDF">
        <w:t xml:space="preserve">The total number of children from all other racial/groups </w:t>
      </w:r>
      <w:r w:rsidR="005478E3">
        <w:t xml:space="preserve">enrolled in School District ABC </w:t>
      </w:r>
    </w:p>
    <w:p w14:paraId="42AC83B3" w14:textId="2ED01A78" w:rsidR="005478E3" w:rsidRDefault="005478E3" w:rsidP="005478E3">
      <w:pPr>
        <w:ind w:left="1080"/>
      </w:pPr>
      <w:r>
        <w:t>Result: .0</w:t>
      </w:r>
      <w:r w:rsidR="00022233">
        <w:t>6</w:t>
      </w:r>
    </w:p>
    <w:p w14:paraId="6F4543DD" w14:textId="77777777" w:rsidR="005478E3" w:rsidRDefault="005478E3" w:rsidP="005478E3">
      <w:pPr>
        <w:ind w:left="1080"/>
      </w:pPr>
      <w:r>
        <w:lastRenderedPageBreak/>
        <w:t>Multiply result by 100</w:t>
      </w:r>
    </w:p>
    <w:p w14:paraId="4F496D52" w14:textId="6EB4E367" w:rsidR="005478E3" w:rsidRDefault="005478E3" w:rsidP="005478E3">
      <w:pPr>
        <w:ind w:left="1080"/>
      </w:pPr>
      <w:r>
        <w:t xml:space="preserve">= </w:t>
      </w:r>
      <w:r w:rsidR="00022233">
        <w:t>6</w:t>
      </w:r>
      <w:r>
        <w:t xml:space="preserve"> (Risk</w:t>
      </w:r>
      <w:r w:rsidR="00D17B62">
        <w:t xml:space="preserve"> for the comparison group</w:t>
      </w:r>
      <w:r>
        <w:t xml:space="preserve">) </w:t>
      </w:r>
    </w:p>
    <w:p w14:paraId="5BE6BF9D" w14:textId="30D7C12A" w:rsidR="00CE62A0" w:rsidRDefault="00CE62A0" w:rsidP="00CE62A0"/>
    <w:p w14:paraId="29653488" w14:textId="3212F932" w:rsidR="00405C7A" w:rsidRPr="00405C7A" w:rsidRDefault="00CE62A0" w:rsidP="00405C7A">
      <w:pPr>
        <w:rPr>
          <w:b/>
          <w:bCs/>
        </w:rPr>
      </w:pPr>
      <w:r w:rsidRPr="00405C7A">
        <w:rPr>
          <w:b/>
          <w:bCs/>
        </w:rPr>
        <w:t xml:space="preserve">Slide 11 / </w:t>
      </w:r>
      <w:r w:rsidR="001922D0" w:rsidRPr="001922D0">
        <w:rPr>
          <w:b/>
          <w:bCs/>
        </w:rPr>
        <w:t>Calculating the Risk Ratio</w:t>
      </w:r>
    </w:p>
    <w:p w14:paraId="1AD36559" w14:textId="4FEDD122" w:rsidR="005308D7" w:rsidRDefault="001C691F" w:rsidP="001922D0">
      <w:pPr>
        <w:ind w:left="720"/>
      </w:pPr>
      <w:r w:rsidRPr="001C691F">
        <w:t>Now you can calculate the risk ratio for the racial/ethnic group in question!</w:t>
      </w:r>
    </w:p>
    <w:p w14:paraId="57D31371" w14:textId="77777777" w:rsidR="00145BF0" w:rsidRDefault="00145BF0" w:rsidP="00145BF0">
      <w:pPr>
        <w:ind w:left="720"/>
      </w:pPr>
      <w:r>
        <w:t>Risk of the racial/ethnic group in question</w:t>
      </w:r>
    </w:p>
    <w:p w14:paraId="579DAC5E" w14:textId="77777777" w:rsidR="00145BF0" w:rsidRDefault="00145BF0" w:rsidP="00145BF0">
      <w:pPr>
        <w:ind w:left="720"/>
      </w:pPr>
      <w:r>
        <w:t>divided by</w:t>
      </w:r>
    </w:p>
    <w:p w14:paraId="56EA7594" w14:textId="77777777" w:rsidR="00145BF0" w:rsidRDefault="00145BF0" w:rsidP="00145BF0">
      <w:pPr>
        <w:ind w:left="720"/>
      </w:pPr>
      <w:r>
        <w:t>Risk of comparison group</w:t>
      </w:r>
    </w:p>
    <w:p w14:paraId="4B951186" w14:textId="1BB6651A" w:rsidR="00145BF0" w:rsidRDefault="00C40AB2" w:rsidP="00145BF0">
      <w:pPr>
        <w:ind w:left="720"/>
      </w:pPr>
      <w:r>
        <w:t xml:space="preserve">In our case: </w:t>
      </w:r>
      <w:r w:rsidR="00145BF0">
        <w:t>8 divided by 6</w:t>
      </w:r>
    </w:p>
    <w:p w14:paraId="30CE1992" w14:textId="77777777" w:rsidR="00145BF0" w:rsidRDefault="00145BF0" w:rsidP="00145BF0">
      <w:pPr>
        <w:ind w:left="720"/>
      </w:pPr>
      <w:r>
        <w:t>=1.3 (the risk ratio)</w:t>
      </w:r>
    </w:p>
    <w:p w14:paraId="4B082975" w14:textId="3D52592B" w:rsidR="001D64D1" w:rsidRDefault="00145BF0" w:rsidP="00AD43FA">
      <w:pPr>
        <w:ind w:left="720"/>
      </w:pPr>
      <w:r w:rsidRPr="00C40AB2">
        <w:rPr>
          <w:b/>
          <w:bCs/>
        </w:rPr>
        <w:t>How You Read a Risk Ratio</w:t>
      </w:r>
      <w:r w:rsidR="00C40AB2" w:rsidRPr="00C40AB2">
        <w:rPr>
          <w:b/>
          <w:bCs/>
        </w:rPr>
        <w:br/>
      </w:r>
      <w:r>
        <w:t>Black students are 1.3 times more likely than their non-Black peers to be identified with intellectual disabilities</w:t>
      </w:r>
      <w:r w:rsidR="00AD43FA">
        <w:br/>
      </w:r>
    </w:p>
    <w:p w14:paraId="133BDC5F" w14:textId="61592D58" w:rsidR="00457864" w:rsidRPr="00457864" w:rsidRDefault="005308D7" w:rsidP="00457864">
      <w:pPr>
        <w:rPr>
          <w:b/>
          <w:bCs/>
        </w:rPr>
      </w:pPr>
      <w:r w:rsidRPr="00405C7A">
        <w:rPr>
          <w:b/>
          <w:bCs/>
        </w:rPr>
        <w:t>Slide 1</w:t>
      </w:r>
      <w:r>
        <w:rPr>
          <w:b/>
          <w:bCs/>
        </w:rPr>
        <w:t>2</w:t>
      </w:r>
      <w:r w:rsidRPr="00405C7A">
        <w:rPr>
          <w:b/>
          <w:bCs/>
        </w:rPr>
        <w:t xml:space="preserve"> / </w:t>
      </w:r>
      <w:r w:rsidR="00D43FF0" w:rsidRPr="00D43FF0">
        <w:rPr>
          <w:b/>
          <w:bCs/>
        </w:rPr>
        <w:t>Terms to Know—“Risk Ratio Threshold”</w:t>
      </w:r>
    </w:p>
    <w:p w14:paraId="1C93FB2D" w14:textId="3805AA0C" w:rsidR="00475D1F" w:rsidRDefault="00475D1F" w:rsidP="00475D1F">
      <w:pPr>
        <w:ind w:left="720"/>
      </w:pPr>
      <w:r>
        <w:t xml:space="preserve">Q: </w:t>
      </w:r>
      <w:r>
        <w:t xml:space="preserve">When does disproportionality become </w:t>
      </w:r>
      <w:r w:rsidRPr="00475D1F">
        <w:rPr>
          <w:b/>
          <w:bCs/>
          <w:i/>
          <w:iCs/>
        </w:rPr>
        <w:t>significant</w:t>
      </w:r>
      <w:r>
        <w:t xml:space="preserve"> disproportionality?</w:t>
      </w:r>
    </w:p>
    <w:p w14:paraId="7417C084" w14:textId="16D4B5F7" w:rsidR="00475D1F" w:rsidRDefault="00475D1F" w:rsidP="00475D1F">
      <w:pPr>
        <w:ind w:left="720"/>
      </w:pPr>
      <w:r>
        <w:t xml:space="preserve">A: </w:t>
      </w:r>
      <w:r>
        <w:t xml:space="preserve">When the risk ratio goes over a set </w:t>
      </w:r>
      <w:r w:rsidRPr="00475D1F">
        <w:rPr>
          <w:b/>
          <w:bCs/>
        </w:rPr>
        <w:t>threshold</w:t>
      </w:r>
    </w:p>
    <w:p w14:paraId="60DFC4AE" w14:textId="3670D9E3" w:rsidR="00475D1F" w:rsidRDefault="00475D1F" w:rsidP="003B1B51">
      <w:pPr>
        <w:ind w:left="720"/>
      </w:pPr>
      <w:r>
        <w:t xml:space="preserve">The state—with Stakeholder Input—sets the </w:t>
      </w:r>
      <w:r w:rsidRPr="00475D1F">
        <w:rPr>
          <w:b/>
          <w:bCs/>
        </w:rPr>
        <w:t>risk ratio thresholds</w:t>
      </w:r>
      <w:r>
        <w:t xml:space="preserve"> that will “trigger” a finding of significant disproportionality</w:t>
      </w:r>
      <w:r>
        <w:br/>
      </w:r>
    </w:p>
    <w:p w14:paraId="354B79D8" w14:textId="00166489" w:rsidR="00B05230" w:rsidRDefault="00B05230" w:rsidP="00B05230">
      <w:pPr>
        <w:rPr>
          <w:b/>
          <w:bCs/>
        </w:rPr>
      </w:pPr>
      <w:r w:rsidRPr="00405C7A">
        <w:rPr>
          <w:b/>
          <w:bCs/>
        </w:rPr>
        <w:t>Slide 1</w:t>
      </w:r>
      <w:r>
        <w:rPr>
          <w:b/>
          <w:bCs/>
        </w:rPr>
        <w:t>3</w:t>
      </w:r>
      <w:r w:rsidRPr="00405C7A">
        <w:rPr>
          <w:b/>
          <w:bCs/>
        </w:rPr>
        <w:t xml:space="preserve"> / </w:t>
      </w:r>
      <w:r w:rsidR="003B1B51">
        <w:rPr>
          <w:b/>
          <w:bCs/>
        </w:rPr>
        <w:t>Time for Questions</w:t>
      </w:r>
    </w:p>
    <w:p w14:paraId="5B91010F" w14:textId="77777777" w:rsidR="003B1B51" w:rsidRDefault="003B1B51" w:rsidP="003B1B51">
      <w:pPr>
        <w:ind w:left="720"/>
        <w:rPr>
          <w:u w:val="single"/>
        </w:rPr>
      </w:pPr>
      <w:r w:rsidRPr="003B1B51">
        <w:rPr>
          <w:u w:val="single"/>
        </w:rPr>
        <w:t>Pshhhew. So that’s how disproportionality is calculated!</w:t>
      </w:r>
    </w:p>
    <w:p w14:paraId="0B939A37" w14:textId="77777777" w:rsidR="00B76C57" w:rsidRDefault="00B76C57" w:rsidP="00B76C57">
      <w:pPr>
        <w:ind w:left="720"/>
      </w:pPr>
      <w:r>
        <w:t>Questions?</w:t>
      </w:r>
    </w:p>
    <w:p w14:paraId="1C78BAF7" w14:textId="49DCEF73" w:rsidR="008847DE" w:rsidRPr="00AF141C" w:rsidRDefault="008847DE" w:rsidP="00B76C57">
      <w:pPr>
        <w:rPr>
          <w:b/>
          <w:bCs/>
        </w:rPr>
      </w:pPr>
      <w:r>
        <w:br/>
      </w:r>
      <w:r w:rsidRPr="00AF141C">
        <w:rPr>
          <w:b/>
          <w:bCs/>
        </w:rPr>
        <w:t xml:space="preserve">Slide 14 / </w:t>
      </w:r>
      <w:r w:rsidR="00D0654A">
        <w:rPr>
          <w:b/>
          <w:bCs/>
        </w:rPr>
        <w:t>To continue with the slideshow</w:t>
      </w:r>
    </w:p>
    <w:p w14:paraId="1317C804" w14:textId="77777777" w:rsidR="00D0654A" w:rsidRDefault="00D0654A" w:rsidP="00D0654A">
      <w:pPr>
        <w:ind w:left="720"/>
      </w:pPr>
      <w:r>
        <w:t>Shall we go on?</w:t>
      </w:r>
    </w:p>
    <w:p w14:paraId="26CE73C4" w14:textId="77777777" w:rsidR="00D0654A" w:rsidRDefault="00D0654A" w:rsidP="00D0654A">
      <w:pPr>
        <w:ind w:left="720"/>
        <w:rPr>
          <w:b/>
          <w:bCs/>
        </w:rPr>
      </w:pPr>
      <w:r>
        <w:t>What happens if there’s a determination of significant disproportionality?</w:t>
      </w:r>
    </w:p>
    <w:p w14:paraId="6C7327D5" w14:textId="77777777" w:rsidR="00D0654A" w:rsidRDefault="00D0654A" w:rsidP="00D0654A">
      <w:pPr>
        <w:ind w:left="720"/>
        <w:rPr>
          <w:b/>
          <w:bCs/>
        </w:rPr>
      </w:pPr>
    </w:p>
    <w:p w14:paraId="25522F8B" w14:textId="77777777" w:rsidR="00AD43FA" w:rsidRDefault="00AD43FA">
      <w:pPr>
        <w:rPr>
          <w:b/>
          <w:bCs/>
        </w:rPr>
      </w:pPr>
      <w:r>
        <w:rPr>
          <w:b/>
          <w:bCs/>
        </w:rPr>
        <w:br w:type="page"/>
      </w:r>
    </w:p>
    <w:p w14:paraId="2B46E49F" w14:textId="1B3397C5" w:rsidR="00B05230" w:rsidRPr="00154E2E" w:rsidRDefault="006B3539" w:rsidP="00D0654A">
      <w:pPr>
        <w:rPr>
          <w:b/>
          <w:bCs/>
        </w:rPr>
      </w:pPr>
      <w:r w:rsidRPr="00154E2E">
        <w:rPr>
          <w:b/>
          <w:bCs/>
        </w:rPr>
        <w:lastRenderedPageBreak/>
        <w:t xml:space="preserve">Slide 15 / </w:t>
      </w:r>
      <w:r w:rsidR="00C971FD" w:rsidRPr="00C971FD">
        <w:rPr>
          <w:b/>
          <w:bCs/>
        </w:rPr>
        <w:t>For Determinations of Significant Disproportionality</w:t>
      </w:r>
    </w:p>
    <w:p w14:paraId="19143EE0" w14:textId="77777777" w:rsidR="003B6664" w:rsidRDefault="003B6664" w:rsidP="003B6664">
      <w:pPr>
        <w:ind w:left="720"/>
      </w:pPr>
      <w:r>
        <w:t>The state must:</w:t>
      </w:r>
    </w:p>
    <w:p w14:paraId="38BCDF4F" w14:textId="77777777" w:rsidR="003B6664" w:rsidRDefault="003B6664" w:rsidP="003B6664">
      <w:pPr>
        <w:ind w:left="720"/>
      </w:pPr>
      <w:r>
        <w:t xml:space="preserve">Provide for the annual review and revision </w:t>
      </w:r>
      <w:r w:rsidRPr="00AD43FA">
        <w:rPr>
          <w:i/>
          <w:iCs/>
        </w:rPr>
        <w:t>(if appropriate)</w:t>
      </w:r>
      <w:r>
        <w:t xml:space="preserve"> of policies, procedures, and practices used by the LEA in identification or placement  of children, including disciplinary removals of children with disabilities*</w:t>
      </w:r>
    </w:p>
    <w:p w14:paraId="00FACBA7" w14:textId="1C5BA35F" w:rsidR="00F01DCF" w:rsidRDefault="003B6664" w:rsidP="0060060F">
      <w:pPr>
        <w:ind w:left="1440"/>
      </w:pPr>
      <w:r>
        <w:t>* Do the LEA’s policies etc. comply with IDEA’s requirements?</w:t>
      </w:r>
    </w:p>
    <w:p w14:paraId="02972C03" w14:textId="77777777" w:rsidR="006155DC" w:rsidRDefault="006155DC" w:rsidP="003B6664">
      <w:pPr>
        <w:ind w:left="720"/>
      </w:pPr>
    </w:p>
    <w:p w14:paraId="444D652D" w14:textId="4A28702C" w:rsidR="00166417" w:rsidRPr="00166417" w:rsidRDefault="00F01DCF" w:rsidP="00166417">
      <w:pPr>
        <w:rPr>
          <w:i/>
          <w:iCs/>
        </w:rPr>
      </w:pPr>
      <w:r w:rsidRPr="007A45D2">
        <w:rPr>
          <w:b/>
          <w:bCs/>
        </w:rPr>
        <w:t xml:space="preserve">Slide 16 </w:t>
      </w:r>
      <w:r w:rsidR="00166417" w:rsidRPr="00154E2E">
        <w:rPr>
          <w:b/>
          <w:bCs/>
        </w:rPr>
        <w:t xml:space="preserve">/ </w:t>
      </w:r>
      <w:r w:rsidR="00166417" w:rsidRPr="00C971FD">
        <w:rPr>
          <w:b/>
          <w:bCs/>
        </w:rPr>
        <w:t>For Determinations of Significant Disproportionality</w:t>
      </w:r>
      <w:r w:rsidR="00166417">
        <w:rPr>
          <w:b/>
          <w:bCs/>
        </w:rPr>
        <w:t xml:space="preserve"> </w:t>
      </w:r>
      <w:r w:rsidR="00166417">
        <w:rPr>
          <w:i/>
          <w:iCs/>
        </w:rPr>
        <w:t>(continued)</w:t>
      </w:r>
    </w:p>
    <w:p w14:paraId="27A9D49E" w14:textId="77777777" w:rsidR="002F4853" w:rsidRPr="002F4853" w:rsidRDefault="002F4853" w:rsidP="002F4853">
      <w:pPr>
        <w:ind w:left="720"/>
      </w:pPr>
      <w:r w:rsidRPr="002F4853">
        <w:t>The state must also:</w:t>
      </w:r>
    </w:p>
    <w:p w14:paraId="394E8039" w14:textId="77777777" w:rsidR="002F4853" w:rsidRPr="002F4853" w:rsidRDefault="002F4853" w:rsidP="002F4853">
      <w:pPr>
        <w:ind w:left="720"/>
      </w:pPr>
      <w:r w:rsidRPr="002F4853">
        <w:t>Require the LEA to report publicly on the revision of policies, practices, and procedures*</w:t>
      </w:r>
    </w:p>
    <w:p w14:paraId="74BAE023" w14:textId="4B47DBA8" w:rsidR="00F01DCF" w:rsidRDefault="0060060F" w:rsidP="0060060F">
      <w:pPr>
        <w:ind w:left="1440"/>
      </w:pPr>
      <w:r w:rsidRPr="002F4853">
        <w:t xml:space="preserve">* </w:t>
      </w:r>
      <w:r w:rsidR="002F4853" w:rsidRPr="002F4853">
        <w:t xml:space="preserve">Privacy Protections </w:t>
      </w:r>
      <w:r>
        <w:t xml:space="preserve">| </w:t>
      </w:r>
      <w:r w:rsidR="002F4853" w:rsidRPr="002F4853">
        <w:t>This public reporting must be consistent with FERPA requirements and what Section 618(b)(1) of IDEA requires</w:t>
      </w:r>
    </w:p>
    <w:p w14:paraId="45218155" w14:textId="316B7418" w:rsidR="000011D5" w:rsidRDefault="000011D5" w:rsidP="007A45D2">
      <w:pPr>
        <w:ind w:left="720"/>
      </w:pPr>
    </w:p>
    <w:p w14:paraId="02518AE0" w14:textId="318D9D42" w:rsidR="000011D5" w:rsidRPr="00B6601F" w:rsidRDefault="000011D5" w:rsidP="000011D5">
      <w:pPr>
        <w:rPr>
          <w:b/>
          <w:bCs/>
        </w:rPr>
      </w:pPr>
      <w:r w:rsidRPr="00B6601F">
        <w:rPr>
          <w:b/>
          <w:bCs/>
        </w:rPr>
        <w:t xml:space="preserve">Slide 17 / </w:t>
      </w:r>
      <w:r w:rsidR="008861F2" w:rsidRPr="00C971FD">
        <w:rPr>
          <w:b/>
          <w:bCs/>
        </w:rPr>
        <w:t>For Determinations of Significant Disproportionality</w:t>
      </w:r>
      <w:r w:rsidR="008861F2">
        <w:rPr>
          <w:b/>
          <w:bCs/>
        </w:rPr>
        <w:t xml:space="preserve"> </w:t>
      </w:r>
      <w:r w:rsidR="008861F2">
        <w:rPr>
          <w:i/>
          <w:iCs/>
        </w:rPr>
        <w:t>(continued)</w:t>
      </w:r>
    </w:p>
    <w:p w14:paraId="107457AB" w14:textId="77777777" w:rsidR="008861F2" w:rsidRDefault="008861F2" w:rsidP="008861F2">
      <w:pPr>
        <w:ind w:left="720"/>
      </w:pPr>
      <w:r>
        <w:t>The state must require the LEA:</w:t>
      </w:r>
    </w:p>
    <w:p w14:paraId="0091D920" w14:textId="77777777" w:rsidR="008861F2" w:rsidRDefault="008861F2" w:rsidP="008861F2">
      <w:pPr>
        <w:ind w:left="720"/>
      </w:pPr>
      <w:r>
        <w:t xml:space="preserve">To use 15% of its Part B funds for </w:t>
      </w:r>
      <w:r w:rsidRPr="008861F2">
        <w:rPr>
          <w:b/>
          <w:bCs/>
        </w:rPr>
        <w:t>comprehensive coordinated early intervening services</w:t>
      </w:r>
      <w:r>
        <w:t xml:space="preserve"> (Comprehensive CEIS)</w:t>
      </w:r>
    </w:p>
    <w:p w14:paraId="0D7A5817" w14:textId="77777777" w:rsidR="008861F2" w:rsidRDefault="008861F2" w:rsidP="008861F2"/>
    <w:p w14:paraId="664F02F1" w14:textId="5EAC2C4E" w:rsidR="00B6601F" w:rsidRPr="00C41DAC" w:rsidRDefault="003740AA" w:rsidP="008861F2">
      <w:pPr>
        <w:rPr>
          <w:b/>
          <w:bCs/>
        </w:rPr>
      </w:pPr>
      <w:r w:rsidRPr="00C41DAC">
        <w:rPr>
          <w:b/>
          <w:bCs/>
        </w:rPr>
        <w:t xml:space="preserve">Slide 18 / </w:t>
      </w:r>
      <w:r w:rsidR="001517B0" w:rsidRPr="001517B0">
        <w:rPr>
          <w:b/>
          <w:bCs/>
        </w:rPr>
        <w:t>Comprehensive CEIS</w:t>
      </w:r>
    </w:p>
    <w:p w14:paraId="77DEB48E" w14:textId="5AF57155" w:rsidR="00C41DAC" w:rsidRDefault="008D7261" w:rsidP="00C41DAC">
      <w:pPr>
        <w:ind w:left="720"/>
      </w:pPr>
      <w:r w:rsidRPr="008D7261">
        <w:t>LEAs identified with significant disproportionality may use Comprehensive CEIS</w:t>
      </w:r>
      <w:r>
        <w:t>:</w:t>
      </w:r>
    </w:p>
    <w:p w14:paraId="081AA119" w14:textId="77777777" w:rsidR="008D7261" w:rsidRDefault="008D7261" w:rsidP="002832F3">
      <w:pPr>
        <w:pStyle w:val="ListParagraph"/>
        <w:numPr>
          <w:ilvl w:val="0"/>
          <w:numId w:val="22"/>
        </w:numPr>
      </w:pPr>
      <w:r>
        <w:t>to serve students, ages 3 through grade 12, with and without disabilities</w:t>
      </w:r>
    </w:p>
    <w:p w14:paraId="53B970A7" w14:textId="77777777" w:rsidR="002832F3" w:rsidRDefault="008D7261" w:rsidP="002832F3">
      <w:pPr>
        <w:pStyle w:val="ListParagraph"/>
        <w:numPr>
          <w:ilvl w:val="0"/>
          <w:numId w:val="22"/>
        </w:numPr>
      </w:pPr>
      <w:r>
        <w:t>to provide professional development and educational and behavioral evaluations, services, and supports</w:t>
      </w:r>
    </w:p>
    <w:p w14:paraId="692C6A5A" w14:textId="77777777" w:rsidR="002832F3" w:rsidRDefault="002832F3" w:rsidP="002832F3"/>
    <w:p w14:paraId="0FF47934" w14:textId="3813F2B1" w:rsidR="000A32DD" w:rsidRPr="002832F3" w:rsidRDefault="008E738C" w:rsidP="000A32DD">
      <w:r w:rsidRPr="000A32DD">
        <w:rPr>
          <w:b/>
          <w:bCs/>
        </w:rPr>
        <w:t xml:space="preserve">Slide 19 </w:t>
      </w:r>
      <w:r w:rsidR="002832F3" w:rsidRPr="00C41DAC">
        <w:rPr>
          <w:b/>
          <w:bCs/>
        </w:rPr>
        <w:t xml:space="preserve">/ </w:t>
      </w:r>
      <w:r w:rsidR="002832F3" w:rsidRPr="001517B0">
        <w:rPr>
          <w:b/>
          <w:bCs/>
        </w:rPr>
        <w:t>Comprehensive CEIS</w:t>
      </w:r>
      <w:r w:rsidR="002832F3">
        <w:rPr>
          <w:b/>
          <w:bCs/>
        </w:rPr>
        <w:t xml:space="preserve"> </w:t>
      </w:r>
      <w:r w:rsidR="002832F3">
        <w:rPr>
          <w:i/>
          <w:iCs/>
        </w:rPr>
        <w:t>(continued)</w:t>
      </w:r>
    </w:p>
    <w:p w14:paraId="6E9DD1BD" w14:textId="77777777" w:rsidR="006A6E5C" w:rsidRDefault="006A6E5C" w:rsidP="006A6E5C">
      <w:pPr>
        <w:ind w:left="720"/>
      </w:pPr>
      <w:r w:rsidRPr="006A6E5C">
        <w:t>In implementing comprehensive CEIS, an LEA must:</w:t>
      </w:r>
    </w:p>
    <w:p w14:paraId="0D8092AC" w14:textId="77777777" w:rsidR="00A859C9" w:rsidRDefault="00A859C9" w:rsidP="00A859C9">
      <w:pPr>
        <w:pStyle w:val="ListParagraph"/>
        <w:numPr>
          <w:ilvl w:val="0"/>
          <w:numId w:val="23"/>
        </w:numPr>
      </w:pPr>
      <w:r>
        <w:t>identify and address the factors contributing to the significant disproportionality</w:t>
      </w:r>
    </w:p>
    <w:p w14:paraId="0142E654" w14:textId="249E865B" w:rsidR="00A117F6" w:rsidRDefault="00A859C9" w:rsidP="00A859C9">
      <w:pPr>
        <w:pStyle w:val="ListParagraph"/>
        <w:numPr>
          <w:ilvl w:val="0"/>
          <w:numId w:val="23"/>
        </w:numPr>
      </w:pPr>
      <w:r>
        <w:t>address a policy, practice, or procedure it identifies as contributing to the significant disproportionality</w:t>
      </w:r>
    </w:p>
    <w:p w14:paraId="70951E3B" w14:textId="77777777" w:rsidR="00A859C9" w:rsidRDefault="00A859C9" w:rsidP="00A859C9">
      <w:pPr>
        <w:ind w:left="1440"/>
      </w:pPr>
    </w:p>
    <w:p w14:paraId="3E77667B" w14:textId="77777777" w:rsidR="00C34F64" w:rsidRDefault="00C34F64">
      <w:pPr>
        <w:rPr>
          <w:b/>
          <w:bCs/>
        </w:rPr>
      </w:pPr>
      <w:r>
        <w:rPr>
          <w:b/>
          <w:bCs/>
        </w:rPr>
        <w:br w:type="page"/>
      </w:r>
    </w:p>
    <w:p w14:paraId="4EB5DB7A" w14:textId="11106ECD" w:rsidR="00FF157D" w:rsidRPr="002832F3" w:rsidRDefault="00A117F6" w:rsidP="00FF157D">
      <w:r w:rsidRPr="008E0D78">
        <w:rPr>
          <w:b/>
          <w:bCs/>
        </w:rPr>
        <w:t xml:space="preserve">Slide 20 / </w:t>
      </w:r>
      <w:r w:rsidR="00FF157D" w:rsidRPr="001517B0">
        <w:rPr>
          <w:b/>
          <w:bCs/>
        </w:rPr>
        <w:t>Comprehensive CEIS</w:t>
      </w:r>
      <w:r w:rsidR="00FF157D">
        <w:rPr>
          <w:b/>
          <w:bCs/>
        </w:rPr>
        <w:t xml:space="preserve"> </w:t>
      </w:r>
      <w:r w:rsidR="00FF157D">
        <w:rPr>
          <w:i/>
          <w:iCs/>
        </w:rPr>
        <w:t>(continued)</w:t>
      </w:r>
    </w:p>
    <w:p w14:paraId="717FA3DA" w14:textId="77777777" w:rsidR="00C34F64" w:rsidRPr="00C34F64" w:rsidRDefault="00C34F64" w:rsidP="00C34F64">
      <w:pPr>
        <w:ind w:left="720"/>
      </w:pPr>
      <w:r w:rsidRPr="00C34F64">
        <w:t>Who decides how the LEA will use its comprehensive CEIS funds?</w:t>
      </w:r>
    </w:p>
    <w:p w14:paraId="37E551E7" w14:textId="77777777" w:rsidR="00C34F64" w:rsidRPr="00C34F64" w:rsidRDefault="00C34F64" w:rsidP="00C34F64">
      <w:pPr>
        <w:ind w:left="720"/>
      </w:pPr>
      <w:r w:rsidRPr="00C34F64">
        <w:t>The LEA, which:</w:t>
      </w:r>
    </w:p>
    <w:p w14:paraId="01A79B2F" w14:textId="77777777" w:rsidR="00C34F64" w:rsidRDefault="00C34F64" w:rsidP="00C34F64">
      <w:pPr>
        <w:pStyle w:val="ListParagraph"/>
        <w:numPr>
          <w:ilvl w:val="0"/>
          <w:numId w:val="24"/>
        </w:numPr>
      </w:pPr>
      <w:r w:rsidRPr="00C34F64">
        <w:t xml:space="preserve">determines </w:t>
      </w:r>
      <w:r w:rsidRPr="00B40A67">
        <w:rPr>
          <w:i/>
          <w:iCs/>
        </w:rPr>
        <w:t>which</w:t>
      </w:r>
      <w:r w:rsidRPr="00C34F64">
        <w:t xml:space="preserve"> factors contribute to a determination of significant disproportionality, and</w:t>
      </w:r>
    </w:p>
    <w:p w14:paraId="302126D8" w14:textId="032DDA45" w:rsidR="00D1569B" w:rsidRDefault="00C34F64" w:rsidP="00D1569B">
      <w:pPr>
        <w:pStyle w:val="ListParagraph"/>
        <w:numPr>
          <w:ilvl w:val="0"/>
          <w:numId w:val="24"/>
        </w:numPr>
      </w:pPr>
      <w:r w:rsidRPr="00C34F64">
        <w:t>how to effectively target IDEA Part B funds reserved for comprehensive CEIS to address those factors</w:t>
      </w:r>
      <w:r w:rsidR="00A76478">
        <w:br/>
      </w:r>
    </w:p>
    <w:p w14:paraId="4516ACAB" w14:textId="3493E0ED" w:rsidR="00D1569B" w:rsidRDefault="00D1569B" w:rsidP="00D1569B">
      <w:r w:rsidRPr="00D42969">
        <w:rPr>
          <w:b/>
          <w:bCs/>
        </w:rPr>
        <w:t xml:space="preserve">Slide 21 / </w:t>
      </w:r>
      <w:r w:rsidR="00A76478" w:rsidRPr="00A76478">
        <w:rPr>
          <w:b/>
          <w:bCs/>
        </w:rPr>
        <w:t>Flexibility Provisions</w:t>
      </w:r>
    </w:p>
    <w:p w14:paraId="742507AC" w14:textId="77777777" w:rsidR="002A5FEF" w:rsidRDefault="002A5FEF" w:rsidP="002A5FEF">
      <w:pPr>
        <w:ind w:left="720"/>
      </w:pPr>
      <w:r>
        <w:t>Does the state have any flexibility in identifying an LEA as having a significant disproportionality?</w:t>
      </w:r>
    </w:p>
    <w:p w14:paraId="3179F44F" w14:textId="23ED1AEF" w:rsidR="002A5FEF" w:rsidRDefault="002A5FEF" w:rsidP="002A5FEF">
      <w:pPr>
        <w:ind w:left="720"/>
      </w:pPr>
      <w:r w:rsidRPr="002A5FEF">
        <w:rPr>
          <w:b/>
          <w:bCs/>
        </w:rPr>
        <w:t>Yes.</w:t>
      </w:r>
      <w:r>
        <w:t xml:space="preserve"> A state is not required to identify an LEA as having a significant disproportionality </w:t>
      </w:r>
      <w:r>
        <w:br/>
      </w:r>
      <w:r w:rsidRPr="002A5FEF">
        <w:rPr>
          <w:b/>
          <w:bCs/>
          <w:i/>
          <w:iCs/>
        </w:rPr>
        <w:t>until</w:t>
      </w:r>
      <w:r>
        <w:rPr>
          <w:b/>
          <w:bCs/>
          <w:i/>
          <w:iCs/>
        </w:rPr>
        <w:t>…</w:t>
      </w:r>
    </w:p>
    <w:p w14:paraId="06893893" w14:textId="77777777" w:rsidR="002A5FEF" w:rsidRDefault="002A5FEF" w:rsidP="002A5FEF"/>
    <w:p w14:paraId="3879CBB4" w14:textId="02E39198" w:rsidR="00C74BA1" w:rsidRPr="002832F3" w:rsidRDefault="00623D15" w:rsidP="00C74BA1">
      <w:r w:rsidRPr="0012272E">
        <w:rPr>
          <w:b/>
          <w:bCs/>
        </w:rPr>
        <w:t xml:space="preserve">Slide 22 / </w:t>
      </w:r>
      <w:r w:rsidR="00C74BA1" w:rsidRPr="00A76478">
        <w:rPr>
          <w:b/>
          <w:bCs/>
        </w:rPr>
        <w:t>Flexibility Provisions</w:t>
      </w:r>
      <w:r w:rsidR="00C74BA1">
        <w:rPr>
          <w:b/>
          <w:bCs/>
        </w:rPr>
        <w:t xml:space="preserve"> </w:t>
      </w:r>
      <w:r w:rsidR="00C74BA1">
        <w:rPr>
          <w:i/>
          <w:iCs/>
        </w:rPr>
        <w:t>(continued)</w:t>
      </w:r>
    </w:p>
    <w:p w14:paraId="36F774F9" w14:textId="66F7EBCF" w:rsidR="00623D15" w:rsidRPr="000B7D0F" w:rsidRDefault="000B7D0F" w:rsidP="00C74BA1">
      <w:pPr>
        <w:ind w:left="720"/>
      </w:pPr>
      <w:r>
        <w:rPr>
          <w:b/>
          <w:bCs/>
        </w:rPr>
        <w:t xml:space="preserve">…until… </w:t>
      </w:r>
    </w:p>
    <w:p w14:paraId="0E5C3050" w14:textId="0B903650" w:rsidR="0012272E" w:rsidRDefault="000B7D0F" w:rsidP="000B7D0F">
      <w:pPr>
        <w:pStyle w:val="ListParagraph"/>
        <w:numPr>
          <w:ilvl w:val="0"/>
          <w:numId w:val="25"/>
        </w:numPr>
      </w:pPr>
      <w:r w:rsidRPr="000B7D0F">
        <w:t>The LEA has gone over the threshold set by the state for a racial or ethnic group with respect to “identification” or “placement” for up to three prior consecutive years preceding the identification; and</w:t>
      </w:r>
      <w:r w:rsidR="00F8281C">
        <w:br/>
      </w:r>
    </w:p>
    <w:p w14:paraId="2BF77C98" w14:textId="6D8A3CDE" w:rsidR="000B7D0F" w:rsidRDefault="00F8281C" w:rsidP="000B7D0F">
      <w:pPr>
        <w:pStyle w:val="ListParagraph"/>
        <w:numPr>
          <w:ilvl w:val="0"/>
          <w:numId w:val="25"/>
        </w:numPr>
      </w:pPr>
      <w:r w:rsidRPr="00F8281C">
        <w:t>The LEA has gone over the threshold and has failed to demonstrate reasonable progress (as determined by the state) in each of the two prior consecutive years</w:t>
      </w:r>
      <w:r w:rsidR="0068394D">
        <w:br/>
      </w:r>
    </w:p>
    <w:p w14:paraId="3522C76A" w14:textId="59E40E6A" w:rsidR="00623D15" w:rsidRPr="009E101F" w:rsidRDefault="0012272E" w:rsidP="00623D15">
      <w:pPr>
        <w:rPr>
          <w:b/>
          <w:bCs/>
        </w:rPr>
      </w:pPr>
      <w:r w:rsidRPr="009E101F">
        <w:rPr>
          <w:b/>
          <w:bCs/>
        </w:rPr>
        <w:t xml:space="preserve">Slide 23 / </w:t>
      </w:r>
      <w:r w:rsidR="000247D3">
        <w:rPr>
          <w:b/>
          <w:bCs/>
        </w:rPr>
        <w:t>Which are YOU right now?</w:t>
      </w:r>
    </w:p>
    <w:p w14:paraId="791CB40B" w14:textId="38AE2C5C" w:rsidR="009E101F" w:rsidRDefault="002977D2" w:rsidP="009E101F">
      <w:pPr>
        <w:ind w:left="720"/>
      </w:pPr>
      <w:r>
        <w:t>[6 different images show a range of emotional/mental reactions to the deluge of complicated information</w:t>
      </w:r>
      <w:r w:rsidR="005E472C">
        <w:t xml:space="preserve">: a man whose head is hurting; a child getting </w:t>
      </w:r>
      <w:r w:rsidR="008C5286">
        <w:t xml:space="preserve">sprayed as if from a firehose; a running away figure; </w:t>
      </w:r>
      <w:r w:rsidR="007D5BB8">
        <w:t>a very confused-looking woman; the ESC key on a computer; and a llama that looks like he doesn’t care</w:t>
      </w:r>
      <w:r w:rsidR="006A0524">
        <w:t>]</w:t>
      </w:r>
    </w:p>
    <w:p w14:paraId="22115362" w14:textId="4E202578" w:rsidR="009E101F" w:rsidRDefault="009E101F" w:rsidP="009E101F"/>
    <w:p w14:paraId="58F66AE7" w14:textId="77777777" w:rsidR="00CD21DB" w:rsidRPr="002832F3" w:rsidRDefault="009E101F" w:rsidP="00CD21DB">
      <w:r w:rsidRPr="003B5B0A">
        <w:rPr>
          <w:b/>
          <w:bCs/>
        </w:rPr>
        <w:t xml:space="preserve">Slide 24 / </w:t>
      </w:r>
      <w:r w:rsidR="00CD21DB" w:rsidRPr="00A76478">
        <w:rPr>
          <w:b/>
          <w:bCs/>
        </w:rPr>
        <w:t>Flexibility Provisions</w:t>
      </w:r>
      <w:r w:rsidR="00CD21DB">
        <w:rPr>
          <w:b/>
          <w:bCs/>
        </w:rPr>
        <w:t xml:space="preserve"> </w:t>
      </w:r>
      <w:r w:rsidR="00CD21DB">
        <w:rPr>
          <w:i/>
          <w:iCs/>
        </w:rPr>
        <w:t>(continued)</w:t>
      </w:r>
    </w:p>
    <w:p w14:paraId="0EC02FBF" w14:textId="77777777" w:rsidR="005E2266" w:rsidRDefault="005E2266" w:rsidP="005E2266">
      <w:pPr>
        <w:ind w:left="720"/>
      </w:pPr>
      <w:r>
        <w:t>So, where were we? Oh yes.</w:t>
      </w:r>
    </w:p>
    <w:p w14:paraId="410485F0" w14:textId="1C4B45C4" w:rsidR="0089095F" w:rsidRDefault="0089095F" w:rsidP="005E2266">
      <w:pPr>
        <w:ind w:left="720"/>
      </w:pPr>
      <w:r>
        <w:t>A state is not required to identify an LEA as having significant disproportionality until—</w:t>
      </w:r>
    </w:p>
    <w:p w14:paraId="004D3CA0" w14:textId="07CBDFA7" w:rsidR="009E101F" w:rsidRDefault="0089095F" w:rsidP="005E2266">
      <w:pPr>
        <w:pStyle w:val="ListParagraph"/>
        <w:numPr>
          <w:ilvl w:val="0"/>
          <w:numId w:val="27"/>
        </w:numPr>
      </w:pPr>
      <w:r>
        <w:t xml:space="preserve">The LEA has gone over the threshold set by the state for a racial or ethnic group with respect to “identification” or “placement” (including disciplinary removals) for </w:t>
      </w:r>
      <w:r w:rsidRPr="00E124E3">
        <w:rPr>
          <w:b/>
          <w:bCs/>
        </w:rPr>
        <w:t>up to 3 years in a row</w:t>
      </w:r>
      <w:r>
        <w:t>; and</w:t>
      </w:r>
      <w:r w:rsidR="009F52A2">
        <w:t>…</w:t>
      </w:r>
    </w:p>
    <w:p w14:paraId="3F5C64EB" w14:textId="21DA5FD6" w:rsidR="009F52A2" w:rsidRPr="002832F3" w:rsidRDefault="009F52A2" w:rsidP="009F52A2">
      <w:r w:rsidRPr="003B5B0A">
        <w:rPr>
          <w:b/>
          <w:bCs/>
        </w:rPr>
        <w:t>Slide 2</w:t>
      </w:r>
      <w:r>
        <w:rPr>
          <w:b/>
          <w:bCs/>
        </w:rPr>
        <w:t>5</w:t>
      </w:r>
      <w:r w:rsidRPr="003B5B0A">
        <w:rPr>
          <w:b/>
          <w:bCs/>
        </w:rPr>
        <w:t xml:space="preserve"> / </w:t>
      </w:r>
      <w:r w:rsidRPr="00A76478">
        <w:rPr>
          <w:b/>
          <w:bCs/>
        </w:rPr>
        <w:t>Flexibility Provisions</w:t>
      </w:r>
      <w:r>
        <w:rPr>
          <w:b/>
          <w:bCs/>
        </w:rPr>
        <w:t xml:space="preserve"> </w:t>
      </w:r>
      <w:r>
        <w:rPr>
          <w:i/>
          <w:iCs/>
        </w:rPr>
        <w:t>(continued)</w:t>
      </w:r>
    </w:p>
    <w:p w14:paraId="2CE8D764" w14:textId="77777777" w:rsidR="009F52A2" w:rsidRDefault="009F52A2" w:rsidP="009F52A2">
      <w:pPr>
        <w:ind w:left="720"/>
      </w:pPr>
      <w:r>
        <w:t>A state is not required to identify an LEA as having significant disproportionality until—</w:t>
      </w:r>
    </w:p>
    <w:p w14:paraId="7B9BD0DF" w14:textId="19BDF983" w:rsidR="009F52A2" w:rsidRPr="00933185" w:rsidRDefault="00933185" w:rsidP="009F52A2">
      <w:pPr>
        <w:pStyle w:val="ListParagraph"/>
        <w:numPr>
          <w:ilvl w:val="0"/>
          <w:numId w:val="27"/>
        </w:numPr>
        <w:rPr>
          <w:highlight w:val="lightGray"/>
        </w:rPr>
      </w:pPr>
      <w:r>
        <w:t xml:space="preserve">[Grayed out because the last slide discussed this first bullet point] </w:t>
      </w:r>
      <w:r w:rsidR="009F52A2" w:rsidRPr="00933185">
        <w:rPr>
          <w:highlight w:val="lightGray"/>
        </w:rPr>
        <w:t xml:space="preserve">The LEA has gone over the threshold set by the state for a racial or ethnic group with respect to “identification” or “placement” (including disciplinary removals) for </w:t>
      </w:r>
      <w:r w:rsidR="009F52A2" w:rsidRPr="00933185">
        <w:rPr>
          <w:b/>
          <w:bCs/>
          <w:highlight w:val="lightGray"/>
        </w:rPr>
        <w:t>up to 3 years in a row</w:t>
      </w:r>
      <w:r w:rsidR="009F52A2" w:rsidRPr="00933185">
        <w:rPr>
          <w:highlight w:val="lightGray"/>
        </w:rPr>
        <w:t>; and…</w:t>
      </w:r>
      <w:r>
        <w:rPr>
          <w:highlight w:val="lightGray"/>
        </w:rPr>
        <w:br/>
      </w:r>
    </w:p>
    <w:p w14:paraId="57B5493F" w14:textId="6BA14DF0" w:rsidR="00662AA2" w:rsidRPr="00933185" w:rsidRDefault="00662AA2" w:rsidP="009F52A2">
      <w:pPr>
        <w:pStyle w:val="ListParagraph"/>
        <w:numPr>
          <w:ilvl w:val="0"/>
          <w:numId w:val="27"/>
        </w:numPr>
        <w:rPr>
          <w:b/>
          <w:bCs/>
        </w:rPr>
      </w:pPr>
      <w:r w:rsidRPr="00933185">
        <w:rPr>
          <w:b/>
          <w:bCs/>
        </w:rPr>
        <w:t>The LEA has gone over the threshold and has failed to demonstrate reasonable progress (as determined by the state) in each of the two prior years</w:t>
      </w:r>
    </w:p>
    <w:p w14:paraId="3C8C5924" w14:textId="77777777" w:rsidR="009F52A2" w:rsidRDefault="009F52A2" w:rsidP="003B3B37">
      <w:pPr>
        <w:rPr>
          <w:b/>
          <w:bCs/>
        </w:rPr>
      </w:pPr>
    </w:p>
    <w:p w14:paraId="34C331DB" w14:textId="77777777" w:rsidR="009F52A2" w:rsidRDefault="009F52A2" w:rsidP="003B3B37">
      <w:pPr>
        <w:rPr>
          <w:b/>
          <w:bCs/>
        </w:rPr>
      </w:pPr>
    </w:p>
    <w:p w14:paraId="13C6C2FB" w14:textId="631E3AA7" w:rsidR="003B3B37" w:rsidRPr="00F65AE2" w:rsidRDefault="003B3B37" w:rsidP="003B3B37">
      <w:pPr>
        <w:rPr>
          <w:b/>
          <w:bCs/>
        </w:rPr>
      </w:pPr>
      <w:r w:rsidRPr="00F65AE2">
        <w:rPr>
          <w:b/>
          <w:bCs/>
        </w:rPr>
        <w:t>Slide 2</w:t>
      </w:r>
      <w:r w:rsidR="00AB2207">
        <w:rPr>
          <w:b/>
          <w:bCs/>
        </w:rPr>
        <w:t>6</w:t>
      </w:r>
      <w:r w:rsidRPr="00F65AE2">
        <w:rPr>
          <w:b/>
          <w:bCs/>
        </w:rPr>
        <w:t xml:space="preserve"> / </w:t>
      </w:r>
      <w:r w:rsidR="00AB2207">
        <w:rPr>
          <w:b/>
          <w:bCs/>
        </w:rPr>
        <w:t>Question Time</w:t>
      </w:r>
    </w:p>
    <w:p w14:paraId="2C056A2F" w14:textId="1591F194" w:rsidR="0087752D" w:rsidRDefault="00AB2207" w:rsidP="0087752D">
      <w:pPr>
        <w:ind w:left="720"/>
      </w:pPr>
      <w:r>
        <w:t>Questions?</w:t>
      </w:r>
    </w:p>
    <w:p w14:paraId="1AED84A6" w14:textId="2506A288" w:rsidR="001301F0" w:rsidRDefault="001301F0" w:rsidP="0087752D">
      <w:pPr>
        <w:ind w:left="720"/>
      </w:pPr>
    </w:p>
    <w:p w14:paraId="0A96072A" w14:textId="10C2449B" w:rsidR="001301F0" w:rsidRPr="00B02A88" w:rsidRDefault="001301F0" w:rsidP="001301F0">
      <w:pPr>
        <w:rPr>
          <w:b/>
          <w:bCs/>
        </w:rPr>
      </w:pPr>
      <w:r w:rsidRPr="00B02A88">
        <w:rPr>
          <w:b/>
          <w:bCs/>
        </w:rPr>
        <w:t xml:space="preserve">Slide 27 / </w:t>
      </w:r>
      <w:r w:rsidRPr="00B02A88">
        <w:rPr>
          <w:b/>
          <w:bCs/>
        </w:rPr>
        <w:t>Resources of More Information and Technical Assistance</w:t>
      </w:r>
    </w:p>
    <w:p w14:paraId="0D86CC5E" w14:textId="77777777" w:rsidR="00B02A88" w:rsidRDefault="00B02A88" w:rsidP="00B02A88">
      <w:pPr>
        <w:ind w:left="720"/>
      </w:pPr>
      <w:r>
        <w:t>Handout 8 identifies info:</w:t>
      </w:r>
    </w:p>
    <w:p w14:paraId="075AEB53" w14:textId="77777777" w:rsidR="00B02A88" w:rsidRDefault="00B02A88" w:rsidP="00B02A88">
      <w:pPr>
        <w:pStyle w:val="ListParagraph"/>
        <w:numPr>
          <w:ilvl w:val="0"/>
          <w:numId w:val="28"/>
        </w:numPr>
      </w:pPr>
      <w:r>
        <w:t>For general audiences (Basics 101)</w:t>
      </w:r>
    </w:p>
    <w:p w14:paraId="460272F8" w14:textId="77777777" w:rsidR="00B02A88" w:rsidRDefault="00B02A88" w:rsidP="00B02A88">
      <w:pPr>
        <w:pStyle w:val="ListParagraph"/>
        <w:numPr>
          <w:ilvl w:val="0"/>
          <w:numId w:val="28"/>
        </w:numPr>
      </w:pPr>
      <w:r>
        <w:t>From the U.S. Department of Education</w:t>
      </w:r>
    </w:p>
    <w:p w14:paraId="67016730" w14:textId="77777777" w:rsidR="00B02A88" w:rsidRDefault="00B02A88" w:rsidP="00B02A88">
      <w:pPr>
        <w:pStyle w:val="ListParagraph"/>
        <w:numPr>
          <w:ilvl w:val="0"/>
          <w:numId w:val="28"/>
        </w:numPr>
      </w:pPr>
      <w:r>
        <w:t>For stakeholders involved in systems-level change</w:t>
      </w:r>
    </w:p>
    <w:p w14:paraId="1E3FE706" w14:textId="6982C949" w:rsidR="00B02A88" w:rsidRDefault="00B02A88" w:rsidP="00FF4AE7">
      <w:pPr>
        <w:pStyle w:val="ListParagraph"/>
        <w:numPr>
          <w:ilvl w:val="0"/>
          <w:numId w:val="28"/>
        </w:numPr>
      </w:pPr>
      <w:r>
        <w:t>For states, school systems, and schools</w:t>
      </w:r>
    </w:p>
    <w:p w14:paraId="39E8B9B0" w14:textId="77777777" w:rsidR="00B02A88" w:rsidRPr="00B02A88" w:rsidRDefault="00B02A88" w:rsidP="00B02A88">
      <w:pPr>
        <w:ind w:left="720"/>
        <w:rPr>
          <w:b/>
          <w:bCs/>
        </w:rPr>
      </w:pPr>
    </w:p>
    <w:p w14:paraId="1088AB82" w14:textId="354D59DA" w:rsidR="00953953" w:rsidRDefault="00953953" w:rsidP="00C51328">
      <w:pPr>
        <w:rPr>
          <w:b/>
          <w:bCs/>
        </w:rPr>
      </w:pPr>
      <w:r>
        <w:rPr>
          <w:b/>
          <w:bCs/>
        </w:rPr>
        <w:t xml:space="preserve">Slide </w:t>
      </w:r>
      <w:r w:rsidR="00E71988">
        <w:rPr>
          <w:b/>
          <w:bCs/>
        </w:rPr>
        <w:t>2</w:t>
      </w:r>
      <w:r>
        <w:rPr>
          <w:b/>
          <w:bCs/>
        </w:rPr>
        <w:t>8 | Wrapping This All Up</w:t>
      </w:r>
    </w:p>
    <w:p w14:paraId="328D4BD3" w14:textId="1248A418" w:rsidR="00953953" w:rsidRPr="00953953" w:rsidRDefault="00E71988" w:rsidP="00E71988">
      <w:pPr>
        <w:ind w:left="720"/>
      </w:pPr>
      <w:r>
        <w:t>[Closing summary activity: Circle-Square-Triangle]</w:t>
      </w:r>
    </w:p>
    <w:p w14:paraId="072493F4" w14:textId="77777777" w:rsidR="00953953" w:rsidRPr="00953953" w:rsidRDefault="00953953" w:rsidP="00C51328"/>
    <w:p w14:paraId="6C373931" w14:textId="7F592C8A" w:rsidR="00C51328" w:rsidRPr="00F65AE2" w:rsidRDefault="00C51328" w:rsidP="00C51328">
      <w:pPr>
        <w:rPr>
          <w:b/>
          <w:bCs/>
        </w:rPr>
      </w:pPr>
      <w:r w:rsidRPr="00F65AE2">
        <w:rPr>
          <w:b/>
          <w:bCs/>
        </w:rPr>
        <w:t>Slide 2</w:t>
      </w:r>
      <w:r w:rsidR="008F3F93">
        <w:rPr>
          <w:b/>
          <w:bCs/>
        </w:rPr>
        <w:t>9</w:t>
      </w:r>
      <w:r w:rsidRPr="00F65AE2">
        <w:rPr>
          <w:b/>
          <w:bCs/>
        </w:rPr>
        <w:t xml:space="preserve"> / Thank you very much for joining us today!</w:t>
      </w:r>
    </w:p>
    <w:p w14:paraId="53AA5754" w14:textId="77777777" w:rsidR="00F65AE2" w:rsidRDefault="00F65AE2" w:rsidP="00F65AE2">
      <w:pPr>
        <w:ind w:left="720"/>
      </w:pPr>
      <w:r>
        <w:t xml:space="preserve">Together let us strive to give all our children an equal opportunity to learn, grow, and </w:t>
      </w:r>
      <w:r w:rsidRPr="00F65AE2">
        <w:rPr>
          <w:i/>
          <w:iCs/>
        </w:rPr>
        <w:t>become</w:t>
      </w:r>
      <w:r>
        <w:t xml:space="preserve"> in our schools and communities.</w:t>
      </w:r>
    </w:p>
    <w:p w14:paraId="1824DA63" w14:textId="7B6EDE73" w:rsidR="00F65AE2" w:rsidRDefault="00F65AE2" w:rsidP="00F65AE2">
      <w:pPr>
        <w:ind w:left="720"/>
      </w:pPr>
      <w:r>
        <w:t>This training curriculum is a product of the Center for Parent Information and Resources, 2020</w:t>
      </w:r>
      <w:r w:rsidR="00DB1292">
        <w:t xml:space="preserve">, available online at: </w:t>
      </w:r>
      <w:r w:rsidR="00E40143">
        <w:br/>
      </w:r>
      <w:hyperlink r:id="rId11" w:history="1">
        <w:r w:rsidR="00E40143" w:rsidRPr="00C1603C">
          <w:rPr>
            <w:rStyle w:val="Hyperlink"/>
          </w:rPr>
          <w:t>https://www.parentcenterhub.org/disproportionality-in-special-education/</w:t>
        </w:r>
      </w:hyperlink>
      <w:r w:rsidR="00E40143">
        <w:t xml:space="preserve"> </w:t>
      </w:r>
      <w:r>
        <w:t xml:space="preserve"> </w:t>
      </w:r>
    </w:p>
    <w:p w14:paraId="0ACF702A" w14:textId="111211AF" w:rsidR="0087752D" w:rsidRPr="00FB2630" w:rsidRDefault="00F65AE2" w:rsidP="00C0297A">
      <w:pPr>
        <w:ind w:left="720"/>
      </w:pPr>
      <w:r>
        <w:t>The CPIR is made possible through Cooperative Agreement Number H328R130014 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00E40143">
        <w:t xml:space="preserve"> </w:t>
      </w:r>
      <w:bookmarkStart w:id="2" w:name="_GoBack"/>
      <w:bookmarkEnd w:id="2"/>
    </w:p>
    <w:sectPr w:rsidR="0087752D" w:rsidRPr="00FB2630" w:rsidSect="00B93D4A">
      <w:footerReference w:type="default" r:id="rId12"/>
      <w:footerReference w:type="first" r:id="rId13"/>
      <w:endnotePr>
        <w:numFmt w:val="decimal"/>
      </w:endnotePr>
      <w:pgSz w:w="12240" w:h="15840"/>
      <w:pgMar w:top="1296" w:right="2070"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7B9A" w14:textId="77777777" w:rsidR="00F91850" w:rsidRDefault="00F91850">
      <w:pPr>
        <w:spacing w:after="0" w:line="240" w:lineRule="auto"/>
      </w:pPr>
      <w:r>
        <w:separator/>
      </w:r>
    </w:p>
  </w:endnote>
  <w:endnote w:type="continuationSeparator" w:id="0">
    <w:p w14:paraId="0411FD15" w14:textId="77777777" w:rsidR="00F91850" w:rsidRDefault="00F9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D927" w14:textId="77777777" w:rsidR="0074267C" w:rsidRDefault="0074267C" w:rsidP="00480187">
    <w:pPr>
      <w:pStyle w:val="NoSpacing"/>
      <w:spacing w:before="120" w:after="0"/>
      <w:ind w:right="-486"/>
      <w:jc w:val="center"/>
      <w:rPr>
        <w:i/>
      </w:rPr>
    </w:pPr>
    <w:r>
      <w:rPr>
        <w:i/>
      </w:rPr>
      <w:t>________________________________________________________________________________</w:t>
    </w:r>
  </w:p>
  <w:p w14:paraId="69C05ACC" w14:textId="16C3B094" w:rsidR="0074267C" w:rsidRPr="00056605" w:rsidRDefault="0074267C" w:rsidP="00480187">
    <w:pPr>
      <w:pStyle w:val="NoSpacing"/>
      <w:spacing w:before="120" w:after="0"/>
      <w:ind w:right="-486"/>
      <w:jc w:val="center"/>
      <w:rPr>
        <w:i/>
      </w:rPr>
    </w:pPr>
    <w:r w:rsidRPr="00754D6E">
      <w:rPr>
        <w:i/>
      </w:rPr>
      <w:t>Disproportionality</w:t>
    </w:r>
    <w:r>
      <w:rPr>
        <w:i/>
      </w:rPr>
      <w:t xml:space="preserve"> in Special Education</w:t>
    </w:r>
    <w:r w:rsidRPr="00754D6E">
      <w:rPr>
        <w:i/>
      </w:rPr>
      <w:t xml:space="preserve">: </w:t>
    </w:r>
    <w:r w:rsidR="0022400A">
      <w:rPr>
        <w:i/>
      </w:rPr>
      <w:t xml:space="preserve">Text-Only Version of </w:t>
    </w:r>
    <w:r>
      <w:rPr>
        <w:i/>
      </w:rPr>
      <w:t xml:space="preserve">Slideshow </w:t>
    </w:r>
    <w:r w:rsidR="006C04A1">
      <w:rPr>
        <w:i/>
      </w:rPr>
      <w:t>2</w:t>
    </w:r>
    <w:r>
      <w:tab/>
    </w:r>
    <w:r>
      <w:tab/>
    </w:r>
    <w:r w:rsidRPr="00754D6E">
      <w:t>Page</w:t>
    </w:r>
    <w:r>
      <w:t xml:space="preserve"> |</w:t>
    </w:r>
    <w:r w:rsidRPr="00754D6E">
      <w:t xml:space="preserve"> </w:t>
    </w:r>
    <w:r w:rsidRPr="00754D6E">
      <w:fldChar w:fldCharType="begin"/>
    </w:r>
    <w:r w:rsidRPr="00754D6E">
      <w:instrText xml:space="preserve"> PAGE   \* MERGEFORMAT </w:instrText>
    </w:r>
    <w:r w:rsidRPr="00754D6E">
      <w:fldChar w:fldCharType="separate"/>
    </w:r>
    <w:r>
      <w:rPr>
        <w:noProof/>
      </w:rPr>
      <w:t>16</w:t>
    </w:r>
    <w:r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FBF5" w14:textId="77777777" w:rsidR="0074267C" w:rsidRDefault="0074267C"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DD13" w14:textId="77777777" w:rsidR="00F91850" w:rsidRDefault="00F91850">
      <w:pPr>
        <w:spacing w:after="0" w:line="240" w:lineRule="auto"/>
      </w:pPr>
      <w:bookmarkStart w:id="0" w:name="_Hlk479673164"/>
      <w:bookmarkEnd w:id="0"/>
      <w:r>
        <w:separator/>
      </w:r>
    </w:p>
  </w:footnote>
  <w:footnote w:type="continuationSeparator" w:id="0">
    <w:p w14:paraId="544C4C1D" w14:textId="77777777" w:rsidR="00F91850" w:rsidRDefault="00F9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83D"/>
    <w:multiLevelType w:val="hybridMultilevel"/>
    <w:tmpl w:val="408C9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77AE2"/>
    <w:multiLevelType w:val="hybridMultilevel"/>
    <w:tmpl w:val="092E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66E5C"/>
    <w:multiLevelType w:val="hybridMultilevel"/>
    <w:tmpl w:val="FFBC5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E1003"/>
    <w:multiLevelType w:val="hybridMultilevel"/>
    <w:tmpl w:val="E902B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2301EF"/>
    <w:multiLevelType w:val="hybridMultilevel"/>
    <w:tmpl w:val="DE341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470142"/>
    <w:multiLevelType w:val="hybridMultilevel"/>
    <w:tmpl w:val="FD88D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70405"/>
    <w:multiLevelType w:val="hybridMultilevel"/>
    <w:tmpl w:val="DE5AD9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E85064B"/>
    <w:multiLevelType w:val="hybridMultilevel"/>
    <w:tmpl w:val="5078A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782336"/>
    <w:multiLevelType w:val="hybridMultilevel"/>
    <w:tmpl w:val="0F3AA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9713C0"/>
    <w:multiLevelType w:val="hybridMultilevel"/>
    <w:tmpl w:val="A6F8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B50EBD"/>
    <w:multiLevelType w:val="hybridMultilevel"/>
    <w:tmpl w:val="119C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15886"/>
    <w:multiLevelType w:val="hybridMultilevel"/>
    <w:tmpl w:val="95AC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DB01B2"/>
    <w:multiLevelType w:val="hybridMultilevel"/>
    <w:tmpl w:val="9E32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1402D4"/>
    <w:multiLevelType w:val="hybridMultilevel"/>
    <w:tmpl w:val="38406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2818F7"/>
    <w:multiLevelType w:val="hybridMultilevel"/>
    <w:tmpl w:val="06403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8712FA"/>
    <w:multiLevelType w:val="hybridMultilevel"/>
    <w:tmpl w:val="8384F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236A20"/>
    <w:multiLevelType w:val="hybridMultilevel"/>
    <w:tmpl w:val="3CF4C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DE0554"/>
    <w:multiLevelType w:val="hybridMultilevel"/>
    <w:tmpl w:val="276E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052ACB"/>
    <w:multiLevelType w:val="hybridMultilevel"/>
    <w:tmpl w:val="BFAE2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920682"/>
    <w:multiLevelType w:val="hybridMultilevel"/>
    <w:tmpl w:val="A406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1D348E"/>
    <w:multiLevelType w:val="hybridMultilevel"/>
    <w:tmpl w:val="E6084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14419B"/>
    <w:multiLevelType w:val="hybridMultilevel"/>
    <w:tmpl w:val="381A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457D6C"/>
    <w:multiLevelType w:val="hybridMultilevel"/>
    <w:tmpl w:val="B39E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F2643B"/>
    <w:multiLevelType w:val="hybridMultilevel"/>
    <w:tmpl w:val="D2B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84DD4"/>
    <w:multiLevelType w:val="hybridMultilevel"/>
    <w:tmpl w:val="202CB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D82B98"/>
    <w:multiLevelType w:val="hybridMultilevel"/>
    <w:tmpl w:val="5BE84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F32422"/>
    <w:multiLevelType w:val="hybridMultilevel"/>
    <w:tmpl w:val="BE6A8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6"/>
  </w:num>
  <w:num w:numId="3">
    <w:abstractNumId w:val="3"/>
  </w:num>
  <w:num w:numId="4">
    <w:abstractNumId w:val="18"/>
  </w:num>
  <w:num w:numId="5">
    <w:abstractNumId w:val="16"/>
  </w:num>
  <w:num w:numId="6">
    <w:abstractNumId w:val="8"/>
  </w:num>
  <w:num w:numId="7">
    <w:abstractNumId w:val="11"/>
  </w:num>
  <w:num w:numId="8">
    <w:abstractNumId w:val="22"/>
  </w:num>
  <w:num w:numId="9">
    <w:abstractNumId w:val="20"/>
  </w:num>
  <w:num w:numId="10">
    <w:abstractNumId w:val="9"/>
  </w:num>
  <w:num w:numId="11">
    <w:abstractNumId w:val="15"/>
  </w:num>
  <w:num w:numId="12">
    <w:abstractNumId w:val="17"/>
  </w:num>
  <w:num w:numId="13">
    <w:abstractNumId w:val="23"/>
  </w:num>
  <w:num w:numId="14">
    <w:abstractNumId w:val="7"/>
  </w:num>
  <w:num w:numId="15">
    <w:abstractNumId w:val="1"/>
  </w:num>
  <w:num w:numId="16">
    <w:abstractNumId w:val="2"/>
  </w:num>
  <w:num w:numId="17">
    <w:abstractNumId w:val="12"/>
  </w:num>
  <w:num w:numId="18">
    <w:abstractNumId w:val="13"/>
  </w:num>
  <w:num w:numId="19">
    <w:abstractNumId w:val="26"/>
  </w:num>
  <w:num w:numId="20">
    <w:abstractNumId w:val="0"/>
  </w:num>
  <w:num w:numId="21">
    <w:abstractNumId w:val="5"/>
  </w:num>
  <w:num w:numId="22">
    <w:abstractNumId w:val="25"/>
  </w:num>
  <w:num w:numId="23">
    <w:abstractNumId w:val="10"/>
  </w:num>
  <w:num w:numId="24">
    <w:abstractNumId w:val="4"/>
  </w:num>
  <w:num w:numId="25">
    <w:abstractNumId w:val="21"/>
  </w:num>
  <w:num w:numId="26">
    <w:abstractNumId w:val="24"/>
  </w:num>
  <w:num w:numId="27">
    <w:abstractNumId w:val="27"/>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392"/>
    <w:rsid w:val="000011D5"/>
    <w:rsid w:val="00002037"/>
    <w:rsid w:val="00005627"/>
    <w:rsid w:val="0000653D"/>
    <w:rsid w:val="00010221"/>
    <w:rsid w:val="00012F06"/>
    <w:rsid w:val="000135CC"/>
    <w:rsid w:val="000151E4"/>
    <w:rsid w:val="000153E8"/>
    <w:rsid w:val="00020441"/>
    <w:rsid w:val="00020E97"/>
    <w:rsid w:val="00021B89"/>
    <w:rsid w:val="00022233"/>
    <w:rsid w:val="000247BB"/>
    <w:rsid w:val="000247D3"/>
    <w:rsid w:val="00027C9E"/>
    <w:rsid w:val="000314A8"/>
    <w:rsid w:val="00032E9E"/>
    <w:rsid w:val="000412D7"/>
    <w:rsid w:val="000425CE"/>
    <w:rsid w:val="000430FE"/>
    <w:rsid w:val="00044CE6"/>
    <w:rsid w:val="000465BE"/>
    <w:rsid w:val="00046EF2"/>
    <w:rsid w:val="00047190"/>
    <w:rsid w:val="000511FF"/>
    <w:rsid w:val="00051AFC"/>
    <w:rsid w:val="00054D10"/>
    <w:rsid w:val="000562DA"/>
    <w:rsid w:val="00056605"/>
    <w:rsid w:val="0006199A"/>
    <w:rsid w:val="00062A96"/>
    <w:rsid w:val="00064CC9"/>
    <w:rsid w:val="000658E1"/>
    <w:rsid w:val="0007254E"/>
    <w:rsid w:val="00072777"/>
    <w:rsid w:val="000731AB"/>
    <w:rsid w:val="000757CD"/>
    <w:rsid w:val="000762A0"/>
    <w:rsid w:val="000858C9"/>
    <w:rsid w:val="0009041B"/>
    <w:rsid w:val="000922C1"/>
    <w:rsid w:val="0009296A"/>
    <w:rsid w:val="00095C05"/>
    <w:rsid w:val="000A2C2B"/>
    <w:rsid w:val="000A32DD"/>
    <w:rsid w:val="000A3D6B"/>
    <w:rsid w:val="000A4387"/>
    <w:rsid w:val="000A5DCE"/>
    <w:rsid w:val="000B7D0F"/>
    <w:rsid w:val="000C0D32"/>
    <w:rsid w:val="000C199E"/>
    <w:rsid w:val="000C3221"/>
    <w:rsid w:val="000C34E2"/>
    <w:rsid w:val="000C39EC"/>
    <w:rsid w:val="000C5F3C"/>
    <w:rsid w:val="000D2BA4"/>
    <w:rsid w:val="000D3E89"/>
    <w:rsid w:val="000D4218"/>
    <w:rsid w:val="000D4D08"/>
    <w:rsid w:val="000E1BF2"/>
    <w:rsid w:val="000E3801"/>
    <w:rsid w:val="000E5FB6"/>
    <w:rsid w:val="000E62FE"/>
    <w:rsid w:val="000F4E92"/>
    <w:rsid w:val="000F79F7"/>
    <w:rsid w:val="001021E7"/>
    <w:rsid w:val="00103EAB"/>
    <w:rsid w:val="00105470"/>
    <w:rsid w:val="0010569E"/>
    <w:rsid w:val="0010784A"/>
    <w:rsid w:val="00111A00"/>
    <w:rsid w:val="00115FDE"/>
    <w:rsid w:val="0011733B"/>
    <w:rsid w:val="001213FB"/>
    <w:rsid w:val="0012272E"/>
    <w:rsid w:val="001249C3"/>
    <w:rsid w:val="0012565A"/>
    <w:rsid w:val="001274E3"/>
    <w:rsid w:val="00127725"/>
    <w:rsid w:val="00127F32"/>
    <w:rsid w:val="001301F0"/>
    <w:rsid w:val="001308B0"/>
    <w:rsid w:val="00130977"/>
    <w:rsid w:val="00134470"/>
    <w:rsid w:val="00134E18"/>
    <w:rsid w:val="0013596C"/>
    <w:rsid w:val="001368BA"/>
    <w:rsid w:val="00136BF2"/>
    <w:rsid w:val="001433C1"/>
    <w:rsid w:val="00144FEE"/>
    <w:rsid w:val="0014511B"/>
    <w:rsid w:val="00145BF0"/>
    <w:rsid w:val="001473E6"/>
    <w:rsid w:val="0015020D"/>
    <w:rsid w:val="001517B0"/>
    <w:rsid w:val="001541BA"/>
    <w:rsid w:val="00154E2E"/>
    <w:rsid w:val="00155857"/>
    <w:rsid w:val="00155B7E"/>
    <w:rsid w:val="0015684C"/>
    <w:rsid w:val="001577A9"/>
    <w:rsid w:val="001607B8"/>
    <w:rsid w:val="00165CC4"/>
    <w:rsid w:val="00166417"/>
    <w:rsid w:val="00173193"/>
    <w:rsid w:val="0017386E"/>
    <w:rsid w:val="00173F1C"/>
    <w:rsid w:val="0017493B"/>
    <w:rsid w:val="0017519A"/>
    <w:rsid w:val="0017581F"/>
    <w:rsid w:val="001807E9"/>
    <w:rsid w:val="001834DF"/>
    <w:rsid w:val="001922D0"/>
    <w:rsid w:val="00195CA1"/>
    <w:rsid w:val="001976D0"/>
    <w:rsid w:val="00197E61"/>
    <w:rsid w:val="001A4F65"/>
    <w:rsid w:val="001A6F2C"/>
    <w:rsid w:val="001A70E9"/>
    <w:rsid w:val="001B0EF7"/>
    <w:rsid w:val="001B1760"/>
    <w:rsid w:val="001B3791"/>
    <w:rsid w:val="001B403A"/>
    <w:rsid w:val="001B73C8"/>
    <w:rsid w:val="001C13B1"/>
    <w:rsid w:val="001C23C2"/>
    <w:rsid w:val="001C37B0"/>
    <w:rsid w:val="001C5722"/>
    <w:rsid w:val="001C5BB2"/>
    <w:rsid w:val="001C691F"/>
    <w:rsid w:val="001D0C50"/>
    <w:rsid w:val="001D1DBC"/>
    <w:rsid w:val="001D33E0"/>
    <w:rsid w:val="001D64D1"/>
    <w:rsid w:val="001D67D7"/>
    <w:rsid w:val="001E0629"/>
    <w:rsid w:val="001E3B45"/>
    <w:rsid w:val="001E525A"/>
    <w:rsid w:val="001E5BE1"/>
    <w:rsid w:val="001F172C"/>
    <w:rsid w:val="001F57E7"/>
    <w:rsid w:val="001F61FB"/>
    <w:rsid w:val="001F6E29"/>
    <w:rsid w:val="001F70DA"/>
    <w:rsid w:val="00200ED7"/>
    <w:rsid w:val="00201C62"/>
    <w:rsid w:val="002035B5"/>
    <w:rsid w:val="00216ED4"/>
    <w:rsid w:val="0021747E"/>
    <w:rsid w:val="00220B48"/>
    <w:rsid w:val="002210D8"/>
    <w:rsid w:val="00221117"/>
    <w:rsid w:val="00221842"/>
    <w:rsid w:val="00221C10"/>
    <w:rsid w:val="00221FF3"/>
    <w:rsid w:val="0022368D"/>
    <w:rsid w:val="0022400A"/>
    <w:rsid w:val="002250A0"/>
    <w:rsid w:val="0022692E"/>
    <w:rsid w:val="00227C29"/>
    <w:rsid w:val="0023192E"/>
    <w:rsid w:val="002324E9"/>
    <w:rsid w:val="00235824"/>
    <w:rsid w:val="00236572"/>
    <w:rsid w:val="00237529"/>
    <w:rsid w:val="002409FE"/>
    <w:rsid w:val="00241AFE"/>
    <w:rsid w:val="00242F8E"/>
    <w:rsid w:val="00243E50"/>
    <w:rsid w:val="002456F0"/>
    <w:rsid w:val="00250CBF"/>
    <w:rsid w:val="00251E75"/>
    <w:rsid w:val="00252C76"/>
    <w:rsid w:val="00254EF4"/>
    <w:rsid w:val="00261C10"/>
    <w:rsid w:val="00262088"/>
    <w:rsid w:val="00273431"/>
    <w:rsid w:val="00273AD8"/>
    <w:rsid w:val="00280DEA"/>
    <w:rsid w:val="002832F3"/>
    <w:rsid w:val="00283B05"/>
    <w:rsid w:val="00290374"/>
    <w:rsid w:val="00291721"/>
    <w:rsid w:val="002970A6"/>
    <w:rsid w:val="002977D2"/>
    <w:rsid w:val="002A0EF3"/>
    <w:rsid w:val="002A15FE"/>
    <w:rsid w:val="002A4FFE"/>
    <w:rsid w:val="002A5FEF"/>
    <w:rsid w:val="002A68CF"/>
    <w:rsid w:val="002B0099"/>
    <w:rsid w:val="002B28FF"/>
    <w:rsid w:val="002B3AD0"/>
    <w:rsid w:val="002B6099"/>
    <w:rsid w:val="002B638B"/>
    <w:rsid w:val="002B7691"/>
    <w:rsid w:val="002C0570"/>
    <w:rsid w:val="002C2C47"/>
    <w:rsid w:val="002C36F1"/>
    <w:rsid w:val="002C50FE"/>
    <w:rsid w:val="002C7BAE"/>
    <w:rsid w:val="002D0C93"/>
    <w:rsid w:val="002D3A2E"/>
    <w:rsid w:val="002D5AB3"/>
    <w:rsid w:val="002E3E8D"/>
    <w:rsid w:val="002E6805"/>
    <w:rsid w:val="002F1DB1"/>
    <w:rsid w:val="002F2712"/>
    <w:rsid w:val="002F3643"/>
    <w:rsid w:val="002F3BF0"/>
    <w:rsid w:val="002F4853"/>
    <w:rsid w:val="002F5254"/>
    <w:rsid w:val="002F65C8"/>
    <w:rsid w:val="002F66D7"/>
    <w:rsid w:val="0030080F"/>
    <w:rsid w:val="00300E54"/>
    <w:rsid w:val="00302322"/>
    <w:rsid w:val="0030332F"/>
    <w:rsid w:val="003034A1"/>
    <w:rsid w:val="003035BC"/>
    <w:rsid w:val="00303E73"/>
    <w:rsid w:val="00303F43"/>
    <w:rsid w:val="00306F4A"/>
    <w:rsid w:val="00315536"/>
    <w:rsid w:val="00320419"/>
    <w:rsid w:val="00320479"/>
    <w:rsid w:val="00320F2C"/>
    <w:rsid w:val="0032241A"/>
    <w:rsid w:val="00322D91"/>
    <w:rsid w:val="00325815"/>
    <w:rsid w:val="003259FA"/>
    <w:rsid w:val="00326064"/>
    <w:rsid w:val="00327225"/>
    <w:rsid w:val="00331DB2"/>
    <w:rsid w:val="00335BC5"/>
    <w:rsid w:val="00336A46"/>
    <w:rsid w:val="00340057"/>
    <w:rsid w:val="003410E7"/>
    <w:rsid w:val="003458EA"/>
    <w:rsid w:val="00346909"/>
    <w:rsid w:val="003505B8"/>
    <w:rsid w:val="00351D89"/>
    <w:rsid w:val="00351F16"/>
    <w:rsid w:val="00353DFA"/>
    <w:rsid w:val="003576BE"/>
    <w:rsid w:val="00357D9E"/>
    <w:rsid w:val="003628AA"/>
    <w:rsid w:val="00363242"/>
    <w:rsid w:val="00364B22"/>
    <w:rsid w:val="003674C3"/>
    <w:rsid w:val="00371F49"/>
    <w:rsid w:val="00372173"/>
    <w:rsid w:val="003725B2"/>
    <w:rsid w:val="003740AA"/>
    <w:rsid w:val="00375AFD"/>
    <w:rsid w:val="00375C14"/>
    <w:rsid w:val="003802C9"/>
    <w:rsid w:val="003808A7"/>
    <w:rsid w:val="00381C2E"/>
    <w:rsid w:val="00391186"/>
    <w:rsid w:val="00394447"/>
    <w:rsid w:val="003A1418"/>
    <w:rsid w:val="003A68DE"/>
    <w:rsid w:val="003B0413"/>
    <w:rsid w:val="003B1B51"/>
    <w:rsid w:val="003B1F16"/>
    <w:rsid w:val="003B22F5"/>
    <w:rsid w:val="003B3B37"/>
    <w:rsid w:val="003B5B0A"/>
    <w:rsid w:val="003B5E49"/>
    <w:rsid w:val="003B6664"/>
    <w:rsid w:val="003C015E"/>
    <w:rsid w:val="003C1031"/>
    <w:rsid w:val="003C1DE4"/>
    <w:rsid w:val="003C1FCA"/>
    <w:rsid w:val="003C2C40"/>
    <w:rsid w:val="003D03B8"/>
    <w:rsid w:val="003D1BC4"/>
    <w:rsid w:val="003D4127"/>
    <w:rsid w:val="003D5EA7"/>
    <w:rsid w:val="003E3417"/>
    <w:rsid w:val="003E37E7"/>
    <w:rsid w:val="003F0FFF"/>
    <w:rsid w:val="003F1F1B"/>
    <w:rsid w:val="003F5B14"/>
    <w:rsid w:val="003F7748"/>
    <w:rsid w:val="00402F24"/>
    <w:rsid w:val="00403C10"/>
    <w:rsid w:val="00405C7A"/>
    <w:rsid w:val="00406C78"/>
    <w:rsid w:val="0041046E"/>
    <w:rsid w:val="00410C69"/>
    <w:rsid w:val="004126D1"/>
    <w:rsid w:val="00417DAA"/>
    <w:rsid w:val="0042268E"/>
    <w:rsid w:val="00423044"/>
    <w:rsid w:val="004258C0"/>
    <w:rsid w:val="00430664"/>
    <w:rsid w:val="00433460"/>
    <w:rsid w:val="00441039"/>
    <w:rsid w:val="00442C9F"/>
    <w:rsid w:val="00444C2F"/>
    <w:rsid w:val="00447316"/>
    <w:rsid w:val="00450258"/>
    <w:rsid w:val="00450DDD"/>
    <w:rsid w:val="0045226F"/>
    <w:rsid w:val="00454875"/>
    <w:rsid w:val="00455C62"/>
    <w:rsid w:val="00456963"/>
    <w:rsid w:val="00457406"/>
    <w:rsid w:val="00457864"/>
    <w:rsid w:val="00463E4B"/>
    <w:rsid w:val="00473193"/>
    <w:rsid w:val="00474C4E"/>
    <w:rsid w:val="00475512"/>
    <w:rsid w:val="00475D1F"/>
    <w:rsid w:val="00477F53"/>
    <w:rsid w:val="00480187"/>
    <w:rsid w:val="00480A81"/>
    <w:rsid w:val="0048183F"/>
    <w:rsid w:val="0048187E"/>
    <w:rsid w:val="00482489"/>
    <w:rsid w:val="004857DC"/>
    <w:rsid w:val="004859F5"/>
    <w:rsid w:val="00486BE9"/>
    <w:rsid w:val="00491D97"/>
    <w:rsid w:val="00493961"/>
    <w:rsid w:val="00495000"/>
    <w:rsid w:val="004972E8"/>
    <w:rsid w:val="004A03E0"/>
    <w:rsid w:val="004A5566"/>
    <w:rsid w:val="004B0A74"/>
    <w:rsid w:val="004B1213"/>
    <w:rsid w:val="004B4C2A"/>
    <w:rsid w:val="004B65C8"/>
    <w:rsid w:val="004B7BE4"/>
    <w:rsid w:val="004C2457"/>
    <w:rsid w:val="004C3477"/>
    <w:rsid w:val="004C5901"/>
    <w:rsid w:val="004C6D93"/>
    <w:rsid w:val="004C741C"/>
    <w:rsid w:val="004D1259"/>
    <w:rsid w:val="004D50F9"/>
    <w:rsid w:val="004E0272"/>
    <w:rsid w:val="004E27C9"/>
    <w:rsid w:val="004E3930"/>
    <w:rsid w:val="004E4B88"/>
    <w:rsid w:val="004F0647"/>
    <w:rsid w:val="004F07A5"/>
    <w:rsid w:val="004F227C"/>
    <w:rsid w:val="004F45D5"/>
    <w:rsid w:val="004F4D1B"/>
    <w:rsid w:val="004F5290"/>
    <w:rsid w:val="004F6A36"/>
    <w:rsid w:val="004F6C06"/>
    <w:rsid w:val="00502256"/>
    <w:rsid w:val="005035A9"/>
    <w:rsid w:val="00503C4D"/>
    <w:rsid w:val="00505BA6"/>
    <w:rsid w:val="00507097"/>
    <w:rsid w:val="0050781A"/>
    <w:rsid w:val="00507BEE"/>
    <w:rsid w:val="0051364B"/>
    <w:rsid w:val="00513E2F"/>
    <w:rsid w:val="00514EE7"/>
    <w:rsid w:val="005179F0"/>
    <w:rsid w:val="005217EB"/>
    <w:rsid w:val="005224E3"/>
    <w:rsid w:val="00523D3E"/>
    <w:rsid w:val="005255A8"/>
    <w:rsid w:val="005308D7"/>
    <w:rsid w:val="005309E7"/>
    <w:rsid w:val="005405C2"/>
    <w:rsid w:val="00540988"/>
    <w:rsid w:val="005436B9"/>
    <w:rsid w:val="00544F55"/>
    <w:rsid w:val="0054541F"/>
    <w:rsid w:val="005478E3"/>
    <w:rsid w:val="005508E7"/>
    <w:rsid w:val="00551836"/>
    <w:rsid w:val="00551A12"/>
    <w:rsid w:val="005524AB"/>
    <w:rsid w:val="00552C7C"/>
    <w:rsid w:val="00554CB0"/>
    <w:rsid w:val="005554D6"/>
    <w:rsid w:val="00556E9D"/>
    <w:rsid w:val="0055775B"/>
    <w:rsid w:val="00557B3A"/>
    <w:rsid w:val="00560889"/>
    <w:rsid w:val="0056188B"/>
    <w:rsid w:val="00563F8F"/>
    <w:rsid w:val="00571F48"/>
    <w:rsid w:val="00574584"/>
    <w:rsid w:val="00575569"/>
    <w:rsid w:val="005766A5"/>
    <w:rsid w:val="00580C24"/>
    <w:rsid w:val="00581268"/>
    <w:rsid w:val="00582AF7"/>
    <w:rsid w:val="00585D92"/>
    <w:rsid w:val="00587D96"/>
    <w:rsid w:val="00587E3E"/>
    <w:rsid w:val="005907F9"/>
    <w:rsid w:val="00591BD4"/>
    <w:rsid w:val="00591CD6"/>
    <w:rsid w:val="00592D00"/>
    <w:rsid w:val="0059470F"/>
    <w:rsid w:val="00594B0F"/>
    <w:rsid w:val="00594C28"/>
    <w:rsid w:val="00597820"/>
    <w:rsid w:val="005A0F98"/>
    <w:rsid w:val="005A1B08"/>
    <w:rsid w:val="005A3128"/>
    <w:rsid w:val="005A3333"/>
    <w:rsid w:val="005A3AF7"/>
    <w:rsid w:val="005B1AFD"/>
    <w:rsid w:val="005B21A8"/>
    <w:rsid w:val="005B387B"/>
    <w:rsid w:val="005B4CBB"/>
    <w:rsid w:val="005C0103"/>
    <w:rsid w:val="005C1003"/>
    <w:rsid w:val="005C2F96"/>
    <w:rsid w:val="005C45B2"/>
    <w:rsid w:val="005C5136"/>
    <w:rsid w:val="005C5870"/>
    <w:rsid w:val="005C755B"/>
    <w:rsid w:val="005D0FA4"/>
    <w:rsid w:val="005D1AEC"/>
    <w:rsid w:val="005D2F9A"/>
    <w:rsid w:val="005D5B15"/>
    <w:rsid w:val="005E1267"/>
    <w:rsid w:val="005E203D"/>
    <w:rsid w:val="005E2266"/>
    <w:rsid w:val="005E472C"/>
    <w:rsid w:val="0060060F"/>
    <w:rsid w:val="00601754"/>
    <w:rsid w:val="006018DF"/>
    <w:rsid w:val="006024B5"/>
    <w:rsid w:val="006030B9"/>
    <w:rsid w:val="00604CC9"/>
    <w:rsid w:val="0060584A"/>
    <w:rsid w:val="00606B67"/>
    <w:rsid w:val="00610149"/>
    <w:rsid w:val="00611059"/>
    <w:rsid w:val="00611A06"/>
    <w:rsid w:val="00611A55"/>
    <w:rsid w:val="0061221D"/>
    <w:rsid w:val="00614614"/>
    <w:rsid w:val="006155DC"/>
    <w:rsid w:val="00616047"/>
    <w:rsid w:val="00616B31"/>
    <w:rsid w:val="00621E56"/>
    <w:rsid w:val="0062226A"/>
    <w:rsid w:val="00622DBA"/>
    <w:rsid w:val="00623D15"/>
    <w:rsid w:val="00625D99"/>
    <w:rsid w:val="00640DF5"/>
    <w:rsid w:val="006426E2"/>
    <w:rsid w:val="0064359B"/>
    <w:rsid w:val="00644683"/>
    <w:rsid w:val="00646628"/>
    <w:rsid w:val="00646990"/>
    <w:rsid w:val="00647B6B"/>
    <w:rsid w:val="00650B0B"/>
    <w:rsid w:val="00650D83"/>
    <w:rsid w:val="00651E2D"/>
    <w:rsid w:val="00654425"/>
    <w:rsid w:val="00655406"/>
    <w:rsid w:val="00656653"/>
    <w:rsid w:val="00656B2D"/>
    <w:rsid w:val="00660242"/>
    <w:rsid w:val="00662AA2"/>
    <w:rsid w:val="00663DE4"/>
    <w:rsid w:val="00670544"/>
    <w:rsid w:val="00672312"/>
    <w:rsid w:val="00672457"/>
    <w:rsid w:val="0067407C"/>
    <w:rsid w:val="0067500A"/>
    <w:rsid w:val="006756D0"/>
    <w:rsid w:val="00676F80"/>
    <w:rsid w:val="0068394D"/>
    <w:rsid w:val="006839C6"/>
    <w:rsid w:val="00683FF2"/>
    <w:rsid w:val="00684BFA"/>
    <w:rsid w:val="00691A06"/>
    <w:rsid w:val="00691DCD"/>
    <w:rsid w:val="006922B4"/>
    <w:rsid w:val="00692612"/>
    <w:rsid w:val="00692656"/>
    <w:rsid w:val="00696115"/>
    <w:rsid w:val="006966B4"/>
    <w:rsid w:val="006967BA"/>
    <w:rsid w:val="00697066"/>
    <w:rsid w:val="00697DFF"/>
    <w:rsid w:val="00697F4B"/>
    <w:rsid w:val="006A0524"/>
    <w:rsid w:val="006A183C"/>
    <w:rsid w:val="006A60D1"/>
    <w:rsid w:val="006A61C8"/>
    <w:rsid w:val="006A6E5C"/>
    <w:rsid w:val="006A7815"/>
    <w:rsid w:val="006A7BC2"/>
    <w:rsid w:val="006B3539"/>
    <w:rsid w:val="006B7B52"/>
    <w:rsid w:val="006C04A1"/>
    <w:rsid w:val="006D0380"/>
    <w:rsid w:val="006D1964"/>
    <w:rsid w:val="006D23A1"/>
    <w:rsid w:val="006D2AC9"/>
    <w:rsid w:val="006D44BE"/>
    <w:rsid w:val="006D4F0F"/>
    <w:rsid w:val="006D6BFA"/>
    <w:rsid w:val="006E0D3F"/>
    <w:rsid w:val="006E1A8A"/>
    <w:rsid w:val="006E1B96"/>
    <w:rsid w:val="006E3F81"/>
    <w:rsid w:val="006E4A3B"/>
    <w:rsid w:val="006E5BA0"/>
    <w:rsid w:val="006E7482"/>
    <w:rsid w:val="006F1F8E"/>
    <w:rsid w:val="006F2929"/>
    <w:rsid w:val="006F5865"/>
    <w:rsid w:val="007020C1"/>
    <w:rsid w:val="007037DF"/>
    <w:rsid w:val="00712D13"/>
    <w:rsid w:val="00714B90"/>
    <w:rsid w:val="00720827"/>
    <w:rsid w:val="00721318"/>
    <w:rsid w:val="007228D2"/>
    <w:rsid w:val="00722EBC"/>
    <w:rsid w:val="00725FCE"/>
    <w:rsid w:val="00727297"/>
    <w:rsid w:val="0073048B"/>
    <w:rsid w:val="00730F82"/>
    <w:rsid w:val="007335C9"/>
    <w:rsid w:val="007337D9"/>
    <w:rsid w:val="007338A6"/>
    <w:rsid w:val="00735BE1"/>
    <w:rsid w:val="00735D7D"/>
    <w:rsid w:val="007414F8"/>
    <w:rsid w:val="0074186D"/>
    <w:rsid w:val="0074267C"/>
    <w:rsid w:val="00744334"/>
    <w:rsid w:val="007446DC"/>
    <w:rsid w:val="007462CF"/>
    <w:rsid w:val="00746F9C"/>
    <w:rsid w:val="00747EB1"/>
    <w:rsid w:val="0075020F"/>
    <w:rsid w:val="00751A0E"/>
    <w:rsid w:val="007524CB"/>
    <w:rsid w:val="00754D6E"/>
    <w:rsid w:val="007568CB"/>
    <w:rsid w:val="0076356E"/>
    <w:rsid w:val="0076584F"/>
    <w:rsid w:val="00766F15"/>
    <w:rsid w:val="007759FE"/>
    <w:rsid w:val="00777A7C"/>
    <w:rsid w:val="00784806"/>
    <w:rsid w:val="00791583"/>
    <w:rsid w:val="007921A0"/>
    <w:rsid w:val="00792633"/>
    <w:rsid w:val="0079315A"/>
    <w:rsid w:val="007936D4"/>
    <w:rsid w:val="00796C46"/>
    <w:rsid w:val="007A040D"/>
    <w:rsid w:val="007A45D2"/>
    <w:rsid w:val="007B1B34"/>
    <w:rsid w:val="007B281D"/>
    <w:rsid w:val="007B411F"/>
    <w:rsid w:val="007C0AC0"/>
    <w:rsid w:val="007C1EB5"/>
    <w:rsid w:val="007C3AE4"/>
    <w:rsid w:val="007C41EB"/>
    <w:rsid w:val="007D5BB8"/>
    <w:rsid w:val="007D6AF2"/>
    <w:rsid w:val="007E0A09"/>
    <w:rsid w:val="007E27DE"/>
    <w:rsid w:val="007E2C31"/>
    <w:rsid w:val="007E4649"/>
    <w:rsid w:val="007E5CE4"/>
    <w:rsid w:val="007E739B"/>
    <w:rsid w:val="007F13A5"/>
    <w:rsid w:val="007F2B54"/>
    <w:rsid w:val="007F4C87"/>
    <w:rsid w:val="007F5585"/>
    <w:rsid w:val="007F6BCA"/>
    <w:rsid w:val="00800769"/>
    <w:rsid w:val="00800F21"/>
    <w:rsid w:val="00800F83"/>
    <w:rsid w:val="00802147"/>
    <w:rsid w:val="008023E2"/>
    <w:rsid w:val="00802780"/>
    <w:rsid w:val="008027C6"/>
    <w:rsid w:val="00804FED"/>
    <w:rsid w:val="008203C5"/>
    <w:rsid w:val="00820500"/>
    <w:rsid w:val="00821333"/>
    <w:rsid w:val="008219F4"/>
    <w:rsid w:val="0082383C"/>
    <w:rsid w:val="00824426"/>
    <w:rsid w:val="008248D2"/>
    <w:rsid w:val="00826C2D"/>
    <w:rsid w:val="00832123"/>
    <w:rsid w:val="00836434"/>
    <w:rsid w:val="00836889"/>
    <w:rsid w:val="00836D1A"/>
    <w:rsid w:val="00842E08"/>
    <w:rsid w:val="0084624B"/>
    <w:rsid w:val="008466EC"/>
    <w:rsid w:val="00846BCB"/>
    <w:rsid w:val="00854986"/>
    <w:rsid w:val="0085529B"/>
    <w:rsid w:val="00855D7B"/>
    <w:rsid w:val="00862FDE"/>
    <w:rsid w:val="00871814"/>
    <w:rsid w:val="00876F89"/>
    <w:rsid w:val="0087752D"/>
    <w:rsid w:val="00882C94"/>
    <w:rsid w:val="00883F00"/>
    <w:rsid w:val="008847DE"/>
    <w:rsid w:val="008861F2"/>
    <w:rsid w:val="0089095F"/>
    <w:rsid w:val="00891095"/>
    <w:rsid w:val="008932AB"/>
    <w:rsid w:val="00897E4A"/>
    <w:rsid w:val="008A0E5C"/>
    <w:rsid w:val="008A3DB1"/>
    <w:rsid w:val="008A59D2"/>
    <w:rsid w:val="008A688B"/>
    <w:rsid w:val="008B0A39"/>
    <w:rsid w:val="008B4719"/>
    <w:rsid w:val="008B4E45"/>
    <w:rsid w:val="008B7A94"/>
    <w:rsid w:val="008C1FAE"/>
    <w:rsid w:val="008C25A9"/>
    <w:rsid w:val="008C378C"/>
    <w:rsid w:val="008C5286"/>
    <w:rsid w:val="008C75D4"/>
    <w:rsid w:val="008D1413"/>
    <w:rsid w:val="008D3AD6"/>
    <w:rsid w:val="008D3C60"/>
    <w:rsid w:val="008D4594"/>
    <w:rsid w:val="008D7261"/>
    <w:rsid w:val="008D7DBD"/>
    <w:rsid w:val="008E0D78"/>
    <w:rsid w:val="008E1C90"/>
    <w:rsid w:val="008E3454"/>
    <w:rsid w:val="008E4752"/>
    <w:rsid w:val="008E738C"/>
    <w:rsid w:val="008E73FF"/>
    <w:rsid w:val="008F3F93"/>
    <w:rsid w:val="008F5C4F"/>
    <w:rsid w:val="008F620D"/>
    <w:rsid w:val="008F65CA"/>
    <w:rsid w:val="009036BA"/>
    <w:rsid w:val="00907E86"/>
    <w:rsid w:val="00910D18"/>
    <w:rsid w:val="009110D1"/>
    <w:rsid w:val="00915A3B"/>
    <w:rsid w:val="00917270"/>
    <w:rsid w:val="00917B7B"/>
    <w:rsid w:val="00921008"/>
    <w:rsid w:val="00921A35"/>
    <w:rsid w:val="0092296E"/>
    <w:rsid w:val="00922E4C"/>
    <w:rsid w:val="00933185"/>
    <w:rsid w:val="0093509B"/>
    <w:rsid w:val="0093608F"/>
    <w:rsid w:val="00936DFC"/>
    <w:rsid w:val="00946C68"/>
    <w:rsid w:val="009471D2"/>
    <w:rsid w:val="00947649"/>
    <w:rsid w:val="0095214D"/>
    <w:rsid w:val="00953953"/>
    <w:rsid w:val="00954168"/>
    <w:rsid w:val="009546F1"/>
    <w:rsid w:val="00956712"/>
    <w:rsid w:val="0095683A"/>
    <w:rsid w:val="00957F3E"/>
    <w:rsid w:val="00960550"/>
    <w:rsid w:val="00964E9F"/>
    <w:rsid w:val="009700A2"/>
    <w:rsid w:val="00972BFB"/>
    <w:rsid w:val="009741F6"/>
    <w:rsid w:val="0097533A"/>
    <w:rsid w:val="00975984"/>
    <w:rsid w:val="00975D8C"/>
    <w:rsid w:val="0097668B"/>
    <w:rsid w:val="00982211"/>
    <w:rsid w:val="009834B1"/>
    <w:rsid w:val="0098413C"/>
    <w:rsid w:val="009851E1"/>
    <w:rsid w:val="0098525A"/>
    <w:rsid w:val="00985DDF"/>
    <w:rsid w:val="00986C79"/>
    <w:rsid w:val="00993697"/>
    <w:rsid w:val="00993B9D"/>
    <w:rsid w:val="009A0BED"/>
    <w:rsid w:val="009A1892"/>
    <w:rsid w:val="009B6044"/>
    <w:rsid w:val="009B72AE"/>
    <w:rsid w:val="009B72CB"/>
    <w:rsid w:val="009B7CDE"/>
    <w:rsid w:val="009B7F5C"/>
    <w:rsid w:val="009C4863"/>
    <w:rsid w:val="009C5DAA"/>
    <w:rsid w:val="009C69CC"/>
    <w:rsid w:val="009C7623"/>
    <w:rsid w:val="009D0F29"/>
    <w:rsid w:val="009D1D2E"/>
    <w:rsid w:val="009E101F"/>
    <w:rsid w:val="009E10AA"/>
    <w:rsid w:val="009E3E2E"/>
    <w:rsid w:val="009F1103"/>
    <w:rsid w:val="009F2CBB"/>
    <w:rsid w:val="009F52A2"/>
    <w:rsid w:val="009F6A0E"/>
    <w:rsid w:val="009F7AD9"/>
    <w:rsid w:val="00A005CC"/>
    <w:rsid w:val="00A03E60"/>
    <w:rsid w:val="00A07182"/>
    <w:rsid w:val="00A077EB"/>
    <w:rsid w:val="00A117F6"/>
    <w:rsid w:val="00A13204"/>
    <w:rsid w:val="00A1437E"/>
    <w:rsid w:val="00A15D44"/>
    <w:rsid w:val="00A17D40"/>
    <w:rsid w:val="00A20D41"/>
    <w:rsid w:val="00A21CC5"/>
    <w:rsid w:val="00A237B6"/>
    <w:rsid w:val="00A258A7"/>
    <w:rsid w:val="00A27F6F"/>
    <w:rsid w:val="00A31341"/>
    <w:rsid w:val="00A32623"/>
    <w:rsid w:val="00A34370"/>
    <w:rsid w:val="00A41C20"/>
    <w:rsid w:val="00A43FFF"/>
    <w:rsid w:val="00A44454"/>
    <w:rsid w:val="00A45288"/>
    <w:rsid w:val="00A465EB"/>
    <w:rsid w:val="00A50069"/>
    <w:rsid w:val="00A52A79"/>
    <w:rsid w:val="00A54FD0"/>
    <w:rsid w:val="00A616E5"/>
    <w:rsid w:val="00A64890"/>
    <w:rsid w:val="00A64914"/>
    <w:rsid w:val="00A651D9"/>
    <w:rsid w:val="00A66BA3"/>
    <w:rsid w:val="00A7247B"/>
    <w:rsid w:val="00A725F6"/>
    <w:rsid w:val="00A73155"/>
    <w:rsid w:val="00A745DF"/>
    <w:rsid w:val="00A76478"/>
    <w:rsid w:val="00A803FA"/>
    <w:rsid w:val="00A859C9"/>
    <w:rsid w:val="00A85E4F"/>
    <w:rsid w:val="00A870D5"/>
    <w:rsid w:val="00A871E8"/>
    <w:rsid w:val="00A87C65"/>
    <w:rsid w:val="00A90087"/>
    <w:rsid w:val="00A9266B"/>
    <w:rsid w:val="00A93C15"/>
    <w:rsid w:val="00A9592C"/>
    <w:rsid w:val="00A96DAB"/>
    <w:rsid w:val="00A97103"/>
    <w:rsid w:val="00AA0A4A"/>
    <w:rsid w:val="00AA0DE6"/>
    <w:rsid w:val="00AA2F90"/>
    <w:rsid w:val="00AA4162"/>
    <w:rsid w:val="00AB2207"/>
    <w:rsid w:val="00AB27AC"/>
    <w:rsid w:val="00AB565C"/>
    <w:rsid w:val="00AB5F48"/>
    <w:rsid w:val="00AB5FDD"/>
    <w:rsid w:val="00AB716F"/>
    <w:rsid w:val="00AC0ED5"/>
    <w:rsid w:val="00AC3916"/>
    <w:rsid w:val="00AC594D"/>
    <w:rsid w:val="00AD0430"/>
    <w:rsid w:val="00AD43FA"/>
    <w:rsid w:val="00AD6462"/>
    <w:rsid w:val="00AE1E57"/>
    <w:rsid w:val="00AE2E35"/>
    <w:rsid w:val="00AE2FE5"/>
    <w:rsid w:val="00AE3E3A"/>
    <w:rsid w:val="00AE6EA1"/>
    <w:rsid w:val="00AF141C"/>
    <w:rsid w:val="00AF1A94"/>
    <w:rsid w:val="00AF3214"/>
    <w:rsid w:val="00AF53B9"/>
    <w:rsid w:val="00AF5876"/>
    <w:rsid w:val="00AF752D"/>
    <w:rsid w:val="00B00C3B"/>
    <w:rsid w:val="00B01039"/>
    <w:rsid w:val="00B01C47"/>
    <w:rsid w:val="00B02A88"/>
    <w:rsid w:val="00B02E01"/>
    <w:rsid w:val="00B04DC3"/>
    <w:rsid w:val="00B05230"/>
    <w:rsid w:val="00B11487"/>
    <w:rsid w:val="00B15194"/>
    <w:rsid w:val="00B23A20"/>
    <w:rsid w:val="00B26BBA"/>
    <w:rsid w:val="00B32434"/>
    <w:rsid w:val="00B37596"/>
    <w:rsid w:val="00B40597"/>
    <w:rsid w:val="00B40A67"/>
    <w:rsid w:val="00B43979"/>
    <w:rsid w:val="00B500FB"/>
    <w:rsid w:val="00B517E3"/>
    <w:rsid w:val="00B51A9C"/>
    <w:rsid w:val="00B53C55"/>
    <w:rsid w:val="00B54299"/>
    <w:rsid w:val="00B56BD1"/>
    <w:rsid w:val="00B57141"/>
    <w:rsid w:val="00B61B3B"/>
    <w:rsid w:val="00B61E51"/>
    <w:rsid w:val="00B64044"/>
    <w:rsid w:val="00B6601F"/>
    <w:rsid w:val="00B66874"/>
    <w:rsid w:val="00B7370D"/>
    <w:rsid w:val="00B74A9D"/>
    <w:rsid w:val="00B76C57"/>
    <w:rsid w:val="00B81579"/>
    <w:rsid w:val="00B8523A"/>
    <w:rsid w:val="00B85975"/>
    <w:rsid w:val="00B85C9A"/>
    <w:rsid w:val="00B87DDF"/>
    <w:rsid w:val="00B90313"/>
    <w:rsid w:val="00B93D4A"/>
    <w:rsid w:val="00B94CCD"/>
    <w:rsid w:val="00B9746F"/>
    <w:rsid w:val="00BA2FCF"/>
    <w:rsid w:val="00BA5506"/>
    <w:rsid w:val="00BA5EE6"/>
    <w:rsid w:val="00BB03CC"/>
    <w:rsid w:val="00BB1035"/>
    <w:rsid w:val="00BB4006"/>
    <w:rsid w:val="00BB6477"/>
    <w:rsid w:val="00BB6EEC"/>
    <w:rsid w:val="00BC0223"/>
    <w:rsid w:val="00BC049D"/>
    <w:rsid w:val="00BC07A8"/>
    <w:rsid w:val="00BC2568"/>
    <w:rsid w:val="00BC4E34"/>
    <w:rsid w:val="00BD176E"/>
    <w:rsid w:val="00BD36CE"/>
    <w:rsid w:val="00BD4FBD"/>
    <w:rsid w:val="00BD6998"/>
    <w:rsid w:val="00BD7C52"/>
    <w:rsid w:val="00BE1B62"/>
    <w:rsid w:val="00BE33AD"/>
    <w:rsid w:val="00BE56A8"/>
    <w:rsid w:val="00BE5F96"/>
    <w:rsid w:val="00BE7D99"/>
    <w:rsid w:val="00BF664A"/>
    <w:rsid w:val="00C011C5"/>
    <w:rsid w:val="00C0297A"/>
    <w:rsid w:val="00C060B7"/>
    <w:rsid w:val="00C06C39"/>
    <w:rsid w:val="00C06F71"/>
    <w:rsid w:val="00C1102C"/>
    <w:rsid w:val="00C126B6"/>
    <w:rsid w:val="00C158CE"/>
    <w:rsid w:val="00C16739"/>
    <w:rsid w:val="00C172B1"/>
    <w:rsid w:val="00C21E39"/>
    <w:rsid w:val="00C21EA4"/>
    <w:rsid w:val="00C22859"/>
    <w:rsid w:val="00C25E95"/>
    <w:rsid w:val="00C25EBA"/>
    <w:rsid w:val="00C27F43"/>
    <w:rsid w:val="00C3168D"/>
    <w:rsid w:val="00C34F64"/>
    <w:rsid w:val="00C36006"/>
    <w:rsid w:val="00C37EF5"/>
    <w:rsid w:val="00C40527"/>
    <w:rsid w:val="00C40AB2"/>
    <w:rsid w:val="00C41DAC"/>
    <w:rsid w:val="00C43235"/>
    <w:rsid w:val="00C44B2F"/>
    <w:rsid w:val="00C45F28"/>
    <w:rsid w:val="00C502A6"/>
    <w:rsid w:val="00C51328"/>
    <w:rsid w:val="00C51C25"/>
    <w:rsid w:val="00C52A24"/>
    <w:rsid w:val="00C52E45"/>
    <w:rsid w:val="00C5446E"/>
    <w:rsid w:val="00C5533A"/>
    <w:rsid w:val="00C6155F"/>
    <w:rsid w:val="00C61CBF"/>
    <w:rsid w:val="00C6427C"/>
    <w:rsid w:val="00C64667"/>
    <w:rsid w:val="00C64C27"/>
    <w:rsid w:val="00C65763"/>
    <w:rsid w:val="00C66161"/>
    <w:rsid w:val="00C6757B"/>
    <w:rsid w:val="00C677AF"/>
    <w:rsid w:val="00C732FB"/>
    <w:rsid w:val="00C73F18"/>
    <w:rsid w:val="00C74BA1"/>
    <w:rsid w:val="00C76ED6"/>
    <w:rsid w:val="00C77D93"/>
    <w:rsid w:val="00C77D98"/>
    <w:rsid w:val="00C828F3"/>
    <w:rsid w:val="00C83372"/>
    <w:rsid w:val="00C83C56"/>
    <w:rsid w:val="00C862C3"/>
    <w:rsid w:val="00C90263"/>
    <w:rsid w:val="00C91F9F"/>
    <w:rsid w:val="00C926ED"/>
    <w:rsid w:val="00C96501"/>
    <w:rsid w:val="00C971FD"/>
    <w:rsid w:val="00CA20E7"/>
    <w:rsid w:val="00CA365C"/>
    <w:rsid w:val="00CA5C3C"/>
    <w:rsid w:val="00CA5D36"/>
    <w:rsid w:val="00CA5F01"/>
    <w:rsid w:val="00CA6065"/>
    <w:rsid w:val="00CA6A09"/>
    <w:rsid w:val="00CB074A"/>
    <w:rsid w:val="00CB22F4"/>
    <w:rsid w:val="00CB26A4"/>
    <w:rsid w:val="00CB30D3"/>
    <w:rsid w:val="00CB450A"/>
    <w:rsid w:val="00CB60BC"/>
    <w:rsid w:val="00CB6D0D"/>
    <w:rsid w:val="00CC1451"/>
    <w:rsid w:val="00CD0473"/>
    <w:rsid w:val="00CD21DB"/>
    <w:rsid w:val="00CE2027"/>
    <w:rsid w:val="00CE3511"/>
    <w:rsid w:val="00CE62A0"/>
    <w:rsid w:val="00CE701C"/>
    <w:rsid w:val="00CE7BB0"/>
    <w:rsid w:val="00CF4BED"/>
    <w:rsid w:val="00CF4C13"/>
    <w:rsid w:val="00CF6B37"/>
    <w:rsid w:val="00D01A94"/>
    <w:rsid w:val="00D02A0F"/>
    <w:rsid w:val="00D02AE5"/>
    <w:rsid w:val="00D03D52"/>
    <w:rsid w:val="00D04FAE"/>
    <w:rsid w:val="00D05403"/>
    <w:rsid w:val="00D0654A"/>
    <w:rsid w:val="00D1136A"/>
    <w:rsid w:val="00D1569B"/>
    <w:rsid w:val="00D16C0A"/>
    <w:rsid w:val="00D16FF0"/>
    <w:rsid w:val="00D17190"/>
    <w:rsid w:val="00D17B62"/>
    <w:rsid w:val="00D17DD6"/>
    <w:rsid w:val="00D2211A"/>
    <w:rsid w:val="00D22495"/>
    <w:rsid w:val="00D22BB0"/>
    <w:rsid w:val="00D249F3"/>
    <w:rsid w:val="00D25AB7"/>
    <w:rsid w:val="00D25BB9"/>
    <w:rsid w:val="00D279D8"/>
    <w:rsid w:val="00D30E16"/>
    <w:rsid w:val="00D30E96"/>
    <w:rsid w:val="00D3555B"/>
    <w:rsid w:val="00D35D83"/>
    <w:rsid w:val="00D3608E"/>
    <w:rsid w:val="00D409B7"/>
    <w:rsid w:val="00D40EB3"/>
    <w:rsid w:val="00D42969"/>
    <w:rsid w:val="00D42A1E"/>
    <w:rsid w:val="00D43FF0"/>
    <w:rsid w:val="00D449E7"/>
    <w:rsid w:val="00D4533D"/>
    <w:rsid w:val="00D458F0"/>
    <w:rsid w:val="00D50AEA"/>
    <w:rsid w:val="00D52FD5"/>
    <w:rsid w:val="00D551E7"/>
    <w:rsid w:val="00D56055"/>
    <w:rsid w:val="00D576E2"/>
    <w:rsid w:val="00D6294B"/>
    <w:rsid w:val="00D639F0"/>
    <w:rsid w:val="00D64761"/>
    <w:rsid w:val="00D674A1"/>
    <w:rsid w:val="00D67C3A"/>
    <w:rsid w:val="00D74218"/>
    <w:rsid w:val="00D76CBF"/>
    <w:rsid w:val="00D82E85"/>
    <w:rsid w:val="00D838C1"/>
    <w:rsid w:val="00D874F2"/>
    <w:rsid w:val="00D87C53"/>
    <w:rsid w:val="00D91ED9"/>
    <w:rsid w:val="00D92B0C"/>
    <w:rsid w:val="00D936F8"/>
    <w:rsid w:val="00D946AB"/>
    <w:rsid w:val="00D96529"/>
    <w:rsid w:val="00D97744"/>
    <w:rsid w:val="00D978EF"/>
    <w:rsid w:val="00DA1E4C"/>
    <w:rsid w:val="00DA215F"/>
    <w:rsid w:val="00DA3C97"/>
    <w:rsid w:val="00DA51A4"/>
    <w:rsid w:val="00DA58FE"/>
    <w:rsid w:val="00DA59B3"/>
    <w:rsid w:val="00DA6522"/>
    <w:rsid w:val="00DB01F8"/>
    <w:rsid w:val="00DB1210"/>
    <w:rsid w:val="00DB1292"/>
    <w:rsid w:val="00DB34B9"/>
    <w:rsid w:val="00DB4F19"/>
    <w:rsid w:val="00DB565B"/>
    <w:rsid w:val="00DC1020"/>
    <w:rsid w:val="00DC1412"/>
    <w:rsid w:val="00DC3725"/>
    <w:rsid w:val="00DC4269"/>
    <w:rsid w:val="00DC4E21"/>
    <w:rsid w:val="00DD0831"/>
    <w:rsid w:val="00DD3AAE"/>
    <w:rsid w:val="00DD45D2"/>
    <w:rsid w:val="00DD4ED6"/>
    <w:rsid w:val="00DD5231"/>
    <w:rsid w:val="00DE1255"/>
    <w:rsid w:val="00DE31A3"/>
    <w:rsid w:val="00DE6631"/>
    <w:rsid w:val="00DF052C"/>
    <w:rsid w:val="00DF0E8B"/>
    <w:rsid w:val="00DF2443"/>
    <w:rsid w:val="00DF3F72"/>
    <w:rsid w:val="00DF42B0"/>
    <w:rsid w:val="00DF4D1C"/>
    <w:rsid w:val="00DF5F18"/>
    <w:rsid w:val="00DF7E72"/>
    <w:rsid w:val="00E01F1E"/>
    <w:rsid w:val="00E02163"/>
    <w:rsid w:val="00E03E47"/>
    <w:rsid w:val="00E05B72"/>
    <w:rsid w:val="00E067BF"/>
    <w:rsid w:val="00E124E3"/>
    <w:rsid w:val="00E14A2F"/>
    <w:rsid w:val="00E14CA3"/>
    <w:rsid w:val="00E15BC9"/>
    <w:rsid w:val="00E210DF"/>
    <w:rsid w:val="00E23D8A"/>
    <w:rsid w:val="00E40143"/>
    <w:rsid w:val="00E43E53"/>
    <w:rsid w:val="00E457A7"/>
    <w:rsid w:val="00E468F6"/>
    <w:rsid w:val="00E46CB3"/>
    <w:rsid w:val="00E50337"/>
    <w:rsid w:val="00E53F5F"/>
    <w:rsid w:val="00E545B4"/>
    <w:rsid w:val="00E55692"/>
    <w:rsid w:val="00E55AE6"/>
    <w:rsid w:val="00E56FA4"/>
    <w:rsid w:val="00E63684"/>
    <w:rsid w:val="00E642C9"/>
    <w:rsid w:val="00E7004F"/>
    <w:rsid w:val="00E71988"/>
    <w:rsid w:val="00E71D49"/>
    <w:rsid w:val="00E720AA"/>
    <w:rsid w:val="00E7211A"/>
    <w:rsid w:val="00E74180"/>
    <w:rsid w:val="00E76214"/>
    <w:rsid w:val="00E84825"/>
    <w:rsid w:val="00E86628"/>
    <w:rsid w:val="00E90D6F"/>
    <w:rsid w:val="00E90E98"/>
    <w:rsid w:val="00E937E8"/>
    <w:rsid w:val="00E93B32"/>
    <w:rsid w:val="00E951F1"/>
    <w:rsid w:val="00E960A9"/>
    <w:rsid w:val="00EA25D4"/>
    <w:rsid w:val="00EA3460"/>
    <w:rsid w:val="00EA3FD8"/>
    <w:rsid w:val="00EA4487"/>
    <w:rsid w:val="00EA64E1"/>
    <w:rsid w:val="00EA6A26"/>
    <w:rsid w:val="00EB6419"/>
    <w:rsid w:val="00EB7676"/>
    <w:rsid w:val="00EC7C75"/>
    <w:rsid w:val="00ED2EC1"/>
    <w:rsid w:val="00ED44FC"/>
    <w:rsid w:val="00ED4C70"/>
    <w:rsid w:val="00ED52CD"/>
    <w:rsid w:val="00EE03D2"/>
    <w:rsid w:val="00EE0D10"/>
    <w:rsid w:val="00EE1C74"/>
    <w:rsid w:val="00EE3E3A"/>
    <w:rsid w:val="00EE4779"/>
    <w:rsid w:val="00EF7E18"/>
    <w:rsid w:val="00F01DCF"/>
    <w:rsid w:val="00F02438"/>
    <w:rsid w:val="00F06FD4"/>
    <w:rsid w:val="00F12116"/>
    <w:rsid w:val="00F138D3"/>
    <w:rsid w:val="00F14E0D"/>
    <w:rsid w:val="00F16D02"/>
    <w:rsid w:val="00F17682"/>
    <w:rsid w:val="00F25915"/>
    <w:rsid w:val="00F27499"/>
    <w:rsid w:val="00F31976"/>
    <w:rsid w:val="00F32F10"/>
    <w:rsid w:val="00F37ACE"/>
    <w:rsid w:val="00F422E1"/>
    <w:rsid w:val="00F454A2"/>
    <w:rsid w:val="00F47176"/>
    <w:rsid w:val="00F47A05"/>
    <w:rsid w:val="00F518BF"/>
    <w:rsid w:val="00F527FF"/>
    <w:rsid w:val="00F6134A"/>
    <w:rsid w:val="00F64EA4"/>
    <w:rsid w:val="00F65AE2"/>
    <w:rsid w:val="00F6694C"/>
    <w:rsid w:val="00F70808"/>
    <w:rsid w:val="00F744B6"/>
    <w:rsid w:val="00F74704"/>
    <w:rsid w:val="00F76747"/>
    <w:rsid w:val="00F775D6"/>
    <w:rsid w:val="00F7768F"/>
    <w:rsid w:val="00F8281C"/>
    <w:rsid w:val="00F83146"/>
    <w:rsid w:val="00F83367"/>
    <w:rsid w:val="00F86147"/>
    <w:rsid w:val="00F87494"/>
    <w:rsid w:val="00F91850"/>
    <w:rsid w:val="00F92F39"/>
    <w:rsid w:val="00F949AA"/>
    <w:rsid w:val="00F96688"/>
    <w:rsid w:val="00F96972"/>
    <w:rsid w:val="00F97210"/>
    <w:rsid w:val="00FA0678"/>
    <w:rsid w:val="00FA2369"/>
    <w:rsid w:val="00FA7DCD"/>
    <w:rsid w:val="00FB0EA3"/>
    <w:rsid w:val="00FB1CE0"/>
    <w:rsid w:val="00FB2630"/>
    <w:rsid w:val="00FB3340"/>
    <w:rsid w:val="00FC1087"/>
    <w:rsid w:val="00FC3ED3"/>
    <w:rsid w:val="00FC4A8F"/>
    <w:rsid w:val="00FC4ACA"/>
    <w:rsid w:val="00FC4B84"/>
    <w:rsid w:val="00FC5231"/>
    <w:rsid w:val="00FC625E"/>
    <w:rsid w:val="00FC7ED0"/>
    <w:rsid w:val="00FC7F51"/>
    <w:rsid w:val="00FD0070"/>
    <w:rsid w:val="00FD06DB"/>
    <w:rsid w:val="00FD3E73"/>
    <w:rsid w:val="00FD4FB8"/>
    <w:rsid w:val="00FD7DA2"/>
    <w:rsid w:val="00FE0282"/>
    <w:rsid w:val="00FE1C23"/>
    <w:rsid w:val="00FE35F5"/>
    <w:rsid w:val="00FE5268"/>
    <w:rsid w:val="00FE781C"/>
    <w:rsid w:val="00FF157D"/>
    <w:rsid w:val="00FF49AF"/>
    <w:rsid w:val="00FF4AE7"/>
    <w:rsid w:val="00FF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F6EA5"/>
  <w15:chartTrackingRefBased/>
  <w15:docId w15:val="{99D98BC7-E3B3-417C-BFF2-D339D9F6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 w:val="24"/>
      <w:szCs w:val="20"/>
    </w:rPr>
  </w:style>
  <w:style w:type="paragraph" w:customStyle="1" w:styleId="MainText">
    <w:name w:val="MainText"/>
    <w:basedOn w:val="Normal"/>
    <w:link w:val="MainTextChar1"/>
    <w:rsid w:val="001B3791"/>
    <w:pPr>
      <w:spacing w:after="240" w:line="240" w:lineRule="auto"/>
    </w:pPr>
    <w:rPr>
      <w:rFonts w:ascii="Times New Roman" w:eastAsia="Times New Roman" w:hAnsi="Times New Roman" w:cs="Times New Roman"/>
      <w:sz w:val="24"/>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 w:val="24"/>
      <w:szCs w:val="24"/>
    </w:rPr>
  </w:style>
  <w:style w:type="paragraph" w:customStyle="1" w:styleId="BulletText">
    <w:name w:val="Bullet Text"/>
    <w:basedOn w:val="Normal"/>
    <w:rsid w:val="00D576E2"/>
    <w:pPr>
      <w:spacing w:after="240" w:line="240" w:lineRule="auto"/>
      <w:ind w:left="576" w:hanging="576"/>
    </w:pPr>
    <w:rPr>
      <w:rFonts w:ascii="Times New Roman" w:eastAsia="Times New Roman" w:hAnsi="Times New Roman" w:cs="Times New Roman"/>
      <w:sz w:val="24"/>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 w:val="24"/>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unhideWhenUsed/>
    <w:rsid w:val="003410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 w:type="paragraph" w:styleId="BalloonText">
    <w:name w:val="Balloon Text"/>
    <w:basedOn w:val="Normal"/>
    <w:link w:val="BalloonTextChar"/>
    <w:uiPriority w:val="99"/>
    <w:semiHidden/>
    <w:unhideWhenUsed/>
    <w:rsid w:val="00522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0055477">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centerhub.org/disproportionality-in-special-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rentcenterhu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7760-CF95-4F45-B8BE-244F8F4A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184</cp:revision>
  <cp:lastPrinted>2017-10-02T18:04:00Z</cp:lastPrinted>
  <dcterms:created xsi:type="dcterms:W3CDTF">2020-11-17T19:09:00Z</dcterms:created>
  <dcterms:modified xsi:type="dcterms:W3CDTF">2020-11-17T21:46:00Z</dcterms:modified>
</cp:coreProperties>
</file>