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C40AC" w14:textId="77777777" w:rsidR="007A6C85" w:rsidRDefault="007A6C85" w:rsidP="00A14E7A">
      <w:pPr>
        <w:ind w:left="360"/>
        <w:rPr>
          <w:rFonts w:ascii="Adobe Garamond Pro" w:hAnsi="Adobe Garamond Pro"/>
          <w:b/>
          <w:color w:val="2F5496" w:themeColor="accent1" w:themeShade="BF"/>
          <w:sz w:val="36"/>
          <w:szCs w:val="36"/>
          <w:lang w:val="es-MX"/>
        </w:rPr>
      </w:pPr>
    </w:p>
    <w:p w14:paraId="5C2F3636" w14:textId="0C68EEAD" w:rsidR="00A37D6D" w:rsidRPr="00402C07" w:rsidRDefault="007A6C85" w:rsidP="00A14E7A">
      <w:pPr>
        <w:ind w:left="360"/>
        <w:rPr>
          <w:rFonts w:cstheme="minorHAnsi"/>
          <w:sz w:val="28"/>
          <w:szCs w:val="28"/>
          <w:lang w:val="es-MX"/>
        </w:rPr>
      </w:pPr>
      <w:r>
        <w:rPr>
          <w:noProof/>
        </w:rPr>
        <w:drawing>
          <wp:anchor distT="0" distB="0" distL="114300" distR="114300" simplePos="0" relativeHeight="251694080" behindDoc="1" locked="0" layoutInCell="1" allowOverlap="1" wp14:anchorId="41A98A64" wp14:editId="39346497">
            <wp:simplePos x="0" y="0"/>
            <wp:positionH relativeFrom="column">
              <wp:posOffset>-629920</wp:posOffset>
            </wp:positionH>
            <wp:positionV relativeFrom="page">
              <wp:posOffset>-19050</wp:posOffset>
            </wp:positionV>
            <wp:extent cx="8409940" cy="904818"/>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8">
                      <a:extLst>
                        <a:ext uri="{28A0092B-C50C-407E-A947-70E740481C1C}">
                          <a14:useLocalDpi xmlns:a14="http://schemas.microsoft.com/office/drawing/2010/main" val="0"/>
                        </a:ext>
                      </a:extLst>
                    </a:blip>
                    <a:stretch>
                      <a:fillRect/>
                    </a:stretch>
                  </pic:blipFill>
                  <pic:spPr>
                    <a:xfrm rot="10800000">
                      <a:off x="0" y="0"/>
                      <a:ext cx="8409940" cy="904818"/>
                    </a:xfrm>
                    <a:prstGeom prst="rect">
                      <a:avLst/>
                    </a:prstGeom>
                  </pic:spPr>
                </pic:pic>
              </a:graphicData>
            </a:graphic>
            <wp14:sizeRelH relativeFrom="margin">
              <wp14:pctWidth>0</wp14:pctWidth>
            </wp14:sizeRelH>
            <wp14:sizeRelV relativeFrom="margin">
              <wp14:pctHeight>0</wp14:pctHeight>
            </wp14:sizeRelV>
          </wp:anchor>
        </w:drawing>
      </w:r>
      <w:r w:rsidR="00031450" w:rsidRPr="00402C07">
        <w:rPr>
          <w:rFonts w:ascii="Adobe Garamond Pro" w:hAnsi="Adobe Garamond Pro"/>
          <w:b/>
          <w:color w:val="2F5496" w:themeColor="accent1" w:themeShade="BF"/>
          <w:sz w:val="36"/>
          <w:szCs w:val="36"/>
          <w:lang w:val="es-MX"/>
        </w:rPr>
        <w:t>Trauma histórico de los nativos hawaianos</w:t>
      </w:r>
      <w:r w:rsidR="00F65A6E" w:rsidRPr="00402C07">
        <w:rPr>
          <w:rFonts w:ascii="Adobe Garamond Pro" w:hAnsi="Adobe Garamond Pro"/>
          <w:b/>
          <w:color w:val="2F5496" w:themeColor="accent1" w:themeShade="BF"/>
          <w:sz w:val="36"/>
          <w:szCs w:val="36"/>
          <w:lang w:val="es-MX"/>
        </w:rPr>
        <w:br/>
      </w:r>
      <w:r w:rsidR="00031450" w:rsidRPr="00402C07">
        <w:rPr>
          <w:rFonts w:cstheme="minorHAnsi"/>
          <w:sz w:val="28"/>
          <w:szCs w:val="28"/>
          <w:lang w:val="es-MX"/>
        </w:rPr>
        <w:t>Desde siglos de soberanía hasta la anexión, el derrocamiento y la estadidad</w:t>
      </w:r>
    </w:p>
    <w:p w14:paraId="4ADFA5EF" w14:textId="3099284F" w:rsidR="005568B0" w:rsidRPr="00402C07" w:rsidRDefault="007A6C85" w:rsidP="008F2A9B">
      <w:pPr>
        <w:ind w:left="450"/>
        <w:rPr>
          <w:lang w:val="es-MX"/>
        </w:rPr>
      </w:pPr>
      <w:r w:rsidRPr="00402C07">
        <w:rPr>
          <w:rFonts w:ascii="Candara" w:hAnsi="Candara"/>
          <w:i/>
          <w:noProof/>
          <w:lang w:val="es-MX"/>
        </w:rPr>
        <w:drawing>
          <wp:anchor distT="0" distB="0" distL="114300" distR="114300" simplePos="0" relativeHeight="251677696" behindDoc="0" locked="0" layoutInCell="1" allowOverlap="1" wp14:anchorId="642A204F" wp14:editId="0EBED9AB">
            <wp:simplePos x="0" y="0"/>
            <wp:positionH relativeFrom="column">
              <wp:posOffset>715645</wp:posOffset>
            </wp:positionH>
            <wp:positionV relativeFrom="page">
              <wp:posOffset>476885</wp:posOffset>
            </wp:positionV>
            <wp:extent cx="2472690" cy="1152525"/>
            <wp:effectExtent l="0" t="0" r="3810" b="9525"/>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2690" cy="1152525"/>
                    </a:xfrm>
                    <a:prstGeom prst="rect">
                      <a:avLst/>
                    </a:prstGeom>
                  </pic:spPr>
                </pic:pic>
              </a:graphicData>
            </a:graphic>
            <wp14:sizeRelH relativeFrom="margin">
              <wp14:pctWidth>0</wp14:pctWidth>
            </wp14:sizeRelH>
            <wp14:sizeRelV relativeFrom="margin">
              <wp14:pctHeight>0</wp14:pctHeight>
            </wp14:sizeRelV>
          </wp:anchor>
        </w:drawing>
      </w:r>
    </w:p>
    <w:p w14:paraId="3811C811" w14:textId="77777777" w:rsidR="005568B0" w:rsidRPr="00402C07" w:rsidRDefault="005568B0" w:rsidP="00153264">
      <w:pPr>
        <w:pStyle w:val="NoSpacing"/>
        <w:ind w:left="450"/>
        <w:rPr>
          <w:lang w:val="es-MX"/>
        </w:rPr>
      </w:pPr>
    </w:p>
    <w:p w14:paraId="15E09E2E" w14:textId="77777777" w:rsidR="005568B0" w:rsidRPr="00402C07" w:rsidRDefault="005568B0" w:rsidP="00153264">
      <w:pPr>
        <w:pStyle w:val="NoSpacing"/>
        <w:ind w:left="450"/>
        <w:rPr>
          <w:lang w:val="es-MX"/>
        </w:rPr>
      </w:pPr>
    </w:p>
    <w:p w14:paraId="40004F60" w14:textId="77777777" w:rsidR="005568B0" w:rsidRPr="00402C07" w:rsidRDefault="005568B0" w:rsidP="00153264">
      <w:pPr>
        <w:pStyle w:val="NoSpacing"/>
        <w:ind w:left="450"/>
        <w:rPr>
          <w:lang w:val="es-MX"/>
        </w:rPr>
        <w:sectPr w:rsidR="005568B0" w:rsidRPr="00402C07" w:rsidSect="006B7C55">
          <w:type w:val="continuous"/>
          <w:pgSz w:w="12240" w:h="15840"/>
          <w:pgMar w:top="1008" w:right="1008" w:bottom="1008" w:left="1008" w:header="720" w:footer="720" w:gutter="0"/>
          <w:cols w:num="2" w:space="180"/>
          <w:docGrid w:linePitch="360"/>
        </w:sectPr>
      </w:pPr>
    </w:p>
    <w:p w14:paraId="5A0154E5" w14:textId="1E427741" w:rsidR="008F2A9B" w:rsidRPr="00402C07" w:rsidRDefault="008F2A9B" w:rsidP="00A14E7A">
      <w:pPr>
        <w:pStyle w:val="NoSpacing"/>
        <w:ind w:left="-90"/>
        <w:rPr>
          <w:lang w:val="es-MX"/>
        </w:rPr>
      </w:pPr>
      <w:r w:rsidRPr="00402C07">
        <w:rPr>
          <w:noProof/>
          <w:lang w:val="es-MX"/>
        </w:rPr>
        <mc:AlternateContent>
          <mc:Choice Requires="wps">
            <w:drawing>
              <wp:inline distT="0" distB="0" distL="0" distR="0" wp14:anchorId="56C03D72" wp14:editId="6001A02D">
                <wp:extent cx="4409515" cy="0"/>
                <wp:effectExtent l="19050" t="38100" r="6731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951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75A1C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4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4A57E38A" w14:textId="730760D5" w:rsidR="00A37D6D" w:rsidRPr="00402C07" w:rsidRDefault="00165AF3" w:rsidP="00031450">
      <w:pPr>
        <w:pStyle w:val="NoSpacing"/>
        <w:rPr>
          <w:lang w:val="es-MX"/>
        </w:rPr>
      </w:pPr>
      <w:r w:rsidRPr="00402C07">
        <w:rPr>
          <w:lang w:val="es-MX"/>
        </w:rPr>
        <w:t>S</w:t>
      </w:r>
      <w:r w:rsidR="00031450" w:rsidRPr="00402C07">
        <w:rPr>
          <w:lang w:val="es-MX"/>
        </w:rPr>
        <w:t>eptiembre</w:t>
      </w:r>
      <w:r w:rsidRPr="00402C07">
        <w:rPr>
          <w:lang w:val="es-MX"/>
        </w:rPr>
        <w:t xml:space="preserve"> 2020</w:t>
      </w:r>
      <w:r w:rsidR="00473A97" w:rsidRPr="00402C07">
        <w:rPr>
          <w:lang w:val="es-MX"/>
        </w:rPr>
        <w:t xml:space="preserve"> | </w:t>
      </w:r>
      <w:r w:rsidR="00031450" w:rsidRPr="00402C07">
        <w:rPr>
          <w:lang w:val="es-MX"/>
        </w:rPr>
        <w:t xml:space="preserve">Una publicación del Centro de Información y Recursos para Padres </w:t>
      </w:r>
      <w:r w:rsidR="00327053">
        <w:rPr>
          <w:lang w:val="es-MX"/>
        </w:rPr>
        <w:br/>
      </w:r>
      <w:r w:rsidR="00031450" w:rsidRPr="00402C07">
        <w:rPr>
          <w:lang w:val="es-MX"/>
        </w:rPr>
        <w:t>Escrito por Rosie Rowe, Directora Ejecutiva, PTI de Hawái</w:t>
      </w:r>
    </w:p>
    <w:p w14:paraId="5516F073" w14:textId="2943ED62" w:rsidR="004E18B7" w:rsidRPr="00402C07" w:rsidRDefault="004E18B7" w:rsidP="009F3B05">
      <w:pPr>
        <w:pStyle w:val="NoSpacing"/>
        <w:ind w:left="270"/>
        <w:rPr>
          <w:i/>
          <w:lang w:val="es-MX"/>
        </w:rPr>
      </w:pPr>
    </w:p>
    <w:p w14:paraId="05A3FBC7" w14:textId="31B4A1B2" w:rsidR="00AC5A3F" w:rsidRPr="00402C07" w:rsidRDefault="006A5CF7" w:rsidP="009F3B05">
      <w:pPr>
        <w:pStyle w:val="NoSpacing"/>
        <w:ind w:left="270"/>
        <w:rPr>
          <w:i/>
          <w:lang w:val="es-MX"/>
        </w:rPr>
      </w:pPr>
      <w:r w:rsidRPr="00402C07">
        <w:rPr>
          <w:rFonts w:cstheme="minorHAnsi"/>
          <w:noProof/>
          <w:sz w:val="28"/>
          <w:szCs w:val="28"/>
          <w:lang w:val="es-MX"/>
        </w:rPr>
        <w:drawing>
          <wp:anchor distT="0" distB="0" distL="114300" distR="114300" simplePos="0" relativeHeight="251692032" behindDoc="1" locked="0" layoutInCell="1" allowOverlap="1" wp14:anchorId="3CC1C6B9" wp14:editId="2A0CBF55">
            <wp:simplePos x="0" y="0"/>
            <wp:positionH relativeFrom="column">
              <wp:posOffset>41910</wp:posOffset>
            </wp:positionH>
            <wp:positionV relativeFrom="paragraph">
              <wp:posOffset>129006</wp:posOffset>
            </wp:positionV>
            <wp:extent cx="2218690" cy="1395095"/>
            <wp:effectExtent l="57150" t="57150" r="105410" b="109855"/>
            <wp:wrapTight wrapText="bothSides">
              <wp:wrapPolygon edited="0">
                <wp:start x="-185" y="-885"/>
                <wp:lineTo x="-556" y="-590"/>
                <wp:lineTo x="-556" y="21826"/>
                <wp:lineTo x="-185" y="23006"/>
                <wp:lineTo x="22070" y="23006"/>
                <wp:lineTo x="22441" y="18582"/>
                <wp:lineTo x="22441" y="4129"/>
                <wp:lineTo x="21884" y="-295"/>
                <wp:lineTo x="21884" y="-885"/>
                <wp:lineTo x="-185" y="-885"/>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pHawaii.gif"/>
                    <pic:cNvPicPr/>
                  </pic:nvPicPr>
                  <pic:blipFill>
                    <a:blip r:embed="rId10">
                      <a:extLst>
                        <a:ext uri="{28A0092B-C50C-407E-A947-70E740481C1C}">
                          <a14:useLocalDpi xmlns:a14="http://schemas.microsoft.com/office/drawing/2010/main" val="0"/>
                        </a:ext>
                      </a:extLst>
                    </a:blip>
                    <a:stretch>
                      <a:fillRect/>
                    </a:stretch>
                  </pic:blipFill>
                  <pic:spPr>
                    <a:xfrm>
                      <a:off x="0" y="0"/>
                      <a:ext cx="2218690" cy="1395095"/>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anchor>
        </w:drawing>
      </w:r>
    </w:p>
    <w:p w14:paraId="6E43C563" w14:textId="77777777" w:rsidR="00DA2240" w:rsidRPr="00DA2240" w:rsidRDefault="00DA2240" w:rsidP="00DA2240">
      <w:pPr>
        <w:pStyle w:val="NoSpacing"/>
        <w:keepNext/>
        <w:framePr w:dropCap="drop" w:lines="3" w:w="376" w:wrap="around" w:vAnchor="text" w:hAnchor="page" w:x="4876" w:y="135"/>
        <w:spacing w:line="601" w:lineRule="exact"/>
        <w:ind w:right="-229"/>
        <w:textAlignment w:val="baseline"/>
        <w:rPr>
          <w:rFonts w:cstheme="minorHAnsi"/>
          <w:position w:val="-6"/>
          <w:sz w:val="77"/>
          <w:lang w:val="es-MX"/>
        </w:rPr>
      </w:pPr>
      <w:r w:rsidRPr="00DA2240">
        <w:rPr>
          <w:rFonts w:cstheme="minorHAnsi"/>
          <w:position w:val="-6"/>
          <w:sz w:val="77"/>
          <w:lang w:val="es-MX"/>
        </w:rPr>
        <w:t>L</w:t>
      </w:r>
    </w:p>
    <w:p w14:paraId="54FC2077" w14:textId="2913AB50" w:rsidR="005835CE" w:rsidRDefault="005835CE" w:rsidP="00720DC2">
      <w:pPr>
        <w:pStyle w:val="NoSpacing"/>
        <w:rPr>
          <w:noProof/>
          <w:lang w:val="es-MX"/>
        </w:rPr>
      </w:pPr>
    </w:p>
    <w:p w14:paraId="22A80104" w14:textId="2E796208" w:rsidR="00720DC2" w:rsidRPr="00402C07" w:rsidRDefault="00B1655B" w:rsidP="00720DC2">
      <w:pPr>
        <w:pStyle w:val="NoSpacing"/>
        <w:rPr>
          <w:lang w:val="es-MX"/>
        </w:rPr>
      </w:pPr>
      <w:r w:rsidRPr="00402C07">
        <w:rPr>
          <w:noProof/>
          <w:lang w:val="es-MX"/>
        </w:rPr>
        <w:t xml:space="preserve">os hawaianos nativos son los pueblos indígenas aborígenes que se asentaron en el </w:t>
      </w:r>
      <w:bookmarkStart w:id="0" w:name="_GoBack"/>
      <w:bookmarkEnd w:id="0"/>
      <w:r w:rsidRPr="00402C07">
        <w:rPr>
          <w:noProof/>
          <w:lang w:val="es-MX"/>
        </w:rPr>
        <w:t>archipiélago hawaiano, fundaron la nación hawaiana y ejercieron soberanía sobre las islas hawaianas. Más recientemente, los hallazgos de la Ley 195 (Leyes de la Sesión de Hawai 2011)</w:t>
      </w:r>
      <w:r w:rsidR="00931025" w:rsidRPr="00402C07">
        <w:rPr>
          <w:b/>
          <w:vertAlign w:val="superscript"/>
          <w:lang w:val="es-MX"/>
        </w:rPr>
        <w:t>1</w:t>
      </w:r>
      <w:r w:rsidR="00931025" w:rsidRPr="00402C07">
        <w:rPr>
          <w:lang w:val="es-MX"/>
        </w:rPr>
        <w:t xml:space="preserve"> </w:t>
      </w:r>
      <w:r w:rsidR="00720DC2" w:rsidRPr="00402C07">
        <w:rPr>
          <w:lang w:val="es-MX"/>
        </w:rPr>
        <w:t xml:space="preserve">reconoció formalmente al pueblo nativo hawaiano como el "único pueblo indígena, aborigen, </w:t>
      </w:r>
      <w:r w:rsidR="00720DC2" w:rsidRPr="00402C07">
        <w:rPr>
          <w:i/>
          <w:lang w:val="es-MX"/>
        </w:rPr>
        <w:t>maoli</w:t>
      </w:r>
      <w:r w:rsidR="00720DC2" w:rsidRPr="00402C07">
        <w:rPr>
          <w:lang w:val="es-MX"/>
        </w:rPr>
        <w:t>" de Hawai</w:t>
      </w:r>
      <w:r w:rsidR="00F03E95" w:rsidRPr="00402C07">
        <w:rPr>
          <w:lang w:val="es-MX"/>
        </w:rPr>
        <w:t>.</w:t>
      </w:r>
      <w:r w:rsidR="00942E3C" w:rsidRPr="00402C07">
        <w:rPr>
          <w:b/>
          <w:vertAlign w:val="superscript"/>
          <w:lang w:val="es-MX"/>
        </w:rPr>
        <w:t>2</w:t>
      </w:r>
      <w:r w:rsidR="00F03E95" w:rsidRPr="00402C07">
        <w:rPr>
          <w:sz w:val="13"/>
          <w:szCs w:val="13"/>
          <w:lang w:val="es-MX"/>
        </w:rPr>
        <w:t xml:space="preserve"> </w:t>
      </w:r>
      <w:r w:rsidR="00720DC2" w:rsidRPr="00402C07">
        <w:rPr>
          <w:lang w:val="es-MX"/>
        </w:rPr>
        <w:t>Al igual que los indios americanos y los nativos de Alaska, los nativos hawaianos son un pueblo indígena distinto que vivió y ejerció soberanía sobre el territorio con límites establecidos durante siglos antes al contacto europeo y la formación del gobierno federal de los Estados Unidos.</w:t>
      </w:r>
    </w:p>
    <w:p w14:paraId="3E4A45D6" w14:textId="09A28F45" w:rsidR="009A314D" w:rsidRDefault="009A314D" w:rsidP="00F03E95">
      <w:pPr>
        <w:pStyle w:val="NoSpacing"/>
        <w:rPr>
          <w:lang w:val="es-MX"/>
        </w:rPr>
      </w:pPr>
    </w:p>
    <w:p w14:paraId="7F35A1D4" w14:textId="3EE6111D" w:rsidR="00112300" w:rsidRPr="00402C07" w:rsidRDefault="0065223E" w:rsidP="00F03E95">
      <w:pPr>
        <w:pStyle w:val="NoSpacing"/>
        <w:rPr>
          <w:lang w:val="es-MX"/>
        </w:rPr>
      </w:pPr>
      <w:r w:rsidRPr="00402C07">
        <w:rPr>
          <w:lang w:val="es-MX"/>
        </w:rPr>
        <w:t>A lo largo de su historia, los nativos hawaianos han mantenido una profunda dependencia de la tierra y la naturaleza, el bienestar físico y espiritual, la identidad y el lenguaje, así como el empoderamiento político. Antes de 1778, los nativos hawaianos se organizaban en torno a un sistema social en el que las familias extensas ('</w:t>
      </w:r>
      <w:r w:rsidR="00566F16" w:rsidRPr="00402C07">
        <w:rPr>
          <w:lang w:val="es-MX"/>
        </w:rPr>
        <w:t>Ohana</w:t>
      </w:r>
      <w:r w:rsidRPr="00402C07">
        <w:rPr>
          <w:lang w:val="es-MX"/>
        </w:rPr>
        <w:t>) trabajaban en cooperación y compartían los frutos de su trabajo. Los jefes gobernantes surgieron en todas las islas y asumieron la administración de la tierra. Asumieron la responsabilidad de organizar a la población para desarrollar una infraestructura de redes de riego, carreteras y estanques de peces para intensificar la producción de alimentos y necesidades básicas para apoyar a una población en rápida expansión.</w:t>
      </w:r>
    </w:p>
    <w:p w14:paraId="211EA718" w14:textId="77777777" w:rsidR="0065223E" w:rsidRPr="00402C07" w:rsidRDefault="0065223E" w:rsidP="00F03E95">
      <w:pPr>
        <w:pStyle w:val="NoSpacing"/>
        <w:rPr>
          <w:lang w:val="es-MX"/>
        </w:rPr>
      </w:pPr>
    </w:p>
    <w:p w14:paraId="14D9FD4F" w14:textId="7D0AEACC" w:rsidR="00710D12" w:rsidRPr="00402C07" w:rsidRDefault="0065223E" w:rsidP="00F03E95">
      <w:pPr>
        <w:pStyle w:val="NoSpacing"/>
        <w:rPr>
          <w:lang w:val="es-MX"/>
        </w:rPr>
      </w:pPr>
      <w:r w:rsidRPr="00402C07">
        <w:rPr>
          <w:lang w:val="es-MX"/>
        </w:rPr>
        <w:t xml:space="preserve">Esta forma de vida centenaria cambió abruptamente en 1893 cuando el Reino de </w:t>
      </w:r>
      <w:r w:rsidR="00566F16" w:rsidRPr="00402C07">
        <w:rPr>
          <w:lang w:val="es-MX"/>
        </w:rPr>
        <w:t>Hawái</w:t>
      </w:r>
      <w:r w:rsidRPr="00402C07">
        <w:rPr>
          <w:lang w:val="es-MX"/>
        </w:rPr>
        <w:t xml:space="preserve"> fue derrocado para obtener ganancias políticas y financieras por empresarios estadounidenses y extranjeros. A pesar de varios intentos de solicitar y luchar por el restablecimiento de la monarquía tradicional, las vidas de los nativos hawaianos nunca volverían a ser las mismas. Experimentaron un trauma histórico </w:t>
      </w:r>
      <w:r w:rsidR="00E07390" w:rsidRPr="00402C07">
        <w:rPr>
          <w:lang w:val="es-MX"/>
        </w:rPr>
        <w:t>prolongado</w:t>
      </w:r>
      <w:r w:rsidRPr="00402C07">
        <w:rPr>
          <w:lang w:val="es-MX"/>
        </w:rPr>
        <w:t xml:space="preserve"> que ha resultado en un deterioro de la salud, mayores tasas de mortalidad, pérdida del idioma, confiscación de tierras, segregación racial y pérdida de identidad. Contra todo pronóstico, los nativos de Hawái han logrado mantener su identidad nacional como un pu</w:t>
      </w:r>
      <w:r w:rsidR="00E07390" w:rsidRPr="00402C07">
        <w:rPr>
          <w:lang w:val="es-MX"/>
        </w:rPr>
        <w:t>eblo distinto con un idioma, historia,</w:t>
      </w:r>
      <w:r w:rsidRPr="00402C07">
        <w:rPr>
          <w:lang w:val="es-MX"/>
        </w:rPr>
        <w:t xml:space="preserve"> cultura y </w:t>
      </w:r>
      <w:r w:rsidR="00E07390" w:rsidRPr="00402C07">
        <w:rPr>
          <w:lang w:val="es-MX"/>
        </w:rPr>
        <w:t>tierras ancestrales</w:t>
      </w:r>
      <w:r w:rsidRPr="00402C07">
        <w:rPr>
          <w:lang w:val="es-MX"/>
        </w:rPr>
        <w:t>.</w:t>
      </w:r>
    </w:p>
    <w:p w14:paraId="21B3F0B1" w14:textId="56B592C5" w:rsidR="00E07390" w:rsidRPr="00402C07" w:rsidRDefault="00E07390" w:rsidP="00F03E95">
      <w:pPr>
        <w:pStyle w:val="NoSpacing"/>
        <w:rPr>
          <w:lang w:val="es-MX"/>
        </w:rPr>
      </w:pPr>
    </w:p>
    <w:p w14:paraId="3ACA5251" w14:textId="7C102429" w:rsidR="00F03E95" w:rsidRPr="00165FB5" w:rsidRDefault="00850199" w:rsidP="00F03E95">
      <w:pPr>
        <w:pStyle w:val="NoSpacing"/>
        <w:rPr>
          <w:rFonts w:cstheme="minorHAnsi"/>
          <w:b/>
          <w:bCs/>
          <w:color w:val="660000"/>
          <w:lang w:val="es-MX"/>
        </w:rPr>
      </w:pPr>
      <w:r w:rsidRPr="00165FB5">
        <w:rPr>
          <w:rFonts w:cstheme="minorHAnsi"/>
          <w:b/>
          <w:bCs/>
          <w:color w:val="660000"/>
          <w:lang w:val="es-MX"/>
        </w:rPr>
        <w:t xml:space="preserve">Salud de los nativos hawaianos </w:t>
      </w:r>
    </w:p>
    <w:p w14:paraId="2B2F5323" w14:textId="785F617B" w:rsidR="00850199" w:rsidRPr="00402C07" w:rsidRDefault="00850199" w:rsidP="00850199">
      <w:pPr>
        <w:pStyle w:val="NoSpacing"/>
        <w:rPr>
          <w:lang w:val="es-MX"/>
        </w:rPr>
      </w:pPr>
      <w:r w:rsidRPr="00402C07">
        <w:rPr>
          <w:lang w:val="es-MX"/>
        </w:rPr>
        <w:t>El primer contacto documentado con los occidentales ocurrió en 1778 cuando el capitán James Cook, un explorador británico, llegó a las islas y presentó a los nativos hawaianos a la civilización occidental. En los años siguientes, más y más personas llegaron a las islas, incluidos misioneros, empresarios, navegantes y comerciantes.</w:t>
      </w:r>
    </w:p>
    <w:p w14:paraId="2D84E428" w14:textId="77777777" w:rsidR="009A314D" w:rsidRPr="00402C07" w:rsidRDefault="009A314D" w:rsidP="00F03E95">
      <w:pPr>
        <w:pStyle w:val="NoSpacing"/>
        <w:rPr>
          <w:lang w:val="es-MX"/>
        </w:rPr>
      </w:pPr>
    </w:p>
    <w:p w14:paraId="761A7B9B" w14:textId="069F37FE" w:rsidR="00F03E95" w:rsidRPr="00402C07" w:rsidRDefault="00850199" w:rsidP="00F03E95">
      <w:pPr>
        <w:pStyle w:val="NoSpacing"/>
        <w:rPr>
          <w:sz w:val="13"/>
          <w:szCs w:val="13"/>
          <w:lang w:val="es-MX"/>
        </w:rPr>
      </w:pPr>
      <w:r w:rsidRPr="00402C07">
        <w:rPr>
          <w:lang w:val="es-MX"/>
        </w:rPr>
        <w:t>A medida que aumentó el tráfico hacia las islas, la población nativa de Hawái disminuyó rápidamente a medida que se introdujeron nuevas enfermedades como la viruela, el sarampión y las enfermedades venéreas. Los hawaianos eran especialmente vulnerables; al no haber tenido contacto previo con estas enfermedades, no tenían inmunidad. Debido en gran parte a estas enfermedades extrañas, el 90% de los nativos hawaianos murieron durante los siguientes cien años; su población disminuyó de aproximadamente 400.000 personas a 40.000.</w:t>
      </w:r>
      <w:r w:rsidR="00EB0F43" w:rsidRPr="00402C07">
        <w:rPr>
          <w:b/>
          <w:vertAlign w:val="superscript"/>
          <w:lang w:val="es-MX"/>
        </w:rPr>
        <w:t>3</w:t>
      </w:r>
    </w:p>
    <w:p w14:paraId="02520BE6" w14:textId="018ABACC" w:rsidR="00066677" w:rsidRPr="00402C07" w:rsidRDefault="00066677" w:rsidP="00F03E95">
      <w:pPr>
        <w:pStyle w:val="NoSpacing"/>
        <w:rPr>
          <w:rFonts w:ascii="MinionPro-Bold" w:hAnsi="MinionPro-Bold" w:cs="MinionPro-Bold"/>
          <w:b/>
          <w:bCs/>
          <w:color w:val="660000"/>
          <w:lang w:val="es-MX"/>
        </w:rPr>
      </w:pPr>
    </w:p>
    <w:p w14:paraId="7104E636" w14:textId="525A748E" w:rsidR="00F03E95" w:rsidRPr="00165FB5" w:rsidRDefault="00850199" w:rsidP="00F03E95">
      <w:pPr>
        <w:pStyle w:val="NoSpacing"/>
        <w:rPr>
          <w:rFonts w:cstheme="minorHAnsi"/>
          <w:b/>
          <w:bCs/>
          <w:color w:val="660000"/>
          <w:lang w:val="es-MX"/>
        </w:rPr>
      </w:pPr>
      <w:r w:rsidRPr="00165FB5">
        <w:rPr>
          <w:rFonts w:cstheme="minorHAnsi"/>
          <w:b/>
          <w:bCs/>
          <w:color w:val="660000"/>
          <w:lang w:val="es-MX"/>
        </w:rPr>
        <w:t xml:space="preserve">Idioma de los nativos hawaianos </w:t>
      </w:r>
    </w:p>
    <w:p w14:paraId="3825D5A8" w14:textId="34FB8DF6" w:rsidR="008038A0" w:rsidRPr="00402C07" w:rsidRDefault="006C6CF4" w:rsidP="00F03E95">
      <w:pPr>
        <w:pStyle w:val="NoSpacing"/>
        <w:rPr>
          <w:lang w:val="es-MX"/>
        </w:rPr>
      </w:pPr>
      <w:r w:rsidRPr="00402C07">
        <w:rPr>
          <w:lang w:val="es-MX"/>
        </w:rPr>
        <w:t xml:space="preserve">La lengua hawaiana es una de las lenguas vivas más antiguas del mundo. El alfabeto hawaiano contiene 13 letras: 8 consonantes, 5 vocales y sin racimos de consonantes. Después de la anexión de Hawái por los Estados Unidos, el idioma hawaiano fue oficialmente prohibido de las escuelas y el gobierno estatal, por lo que casi se extingue. A principios de 1900, se desarrolló un nuevo idioma, el pidgin, o el inglés criollo hawaiano. Surgió de la necesidad, porque muchos trabajadores de las plantaciones provenían de diferentes países y hablaban diferentes idiomas. Todavía necesitaban poder comunicarse, por lo que se creó pidgin. Hoy en </w:t>
      </w:r>
      <w:r w:rsidR="00402C07" w:rsidRPr="00402C07">
        <w:rPr>
          <w:lang w:val="es-MX"/>
        </w:rPr>
        <w:t>día</w:t>
      </w:r>
      <w:r w:rsidRPr="00402C07">
        <w:rPr>
          <w:lang w:val="es-MX"/>
        </w:rPr>
        <w:t xml:space="preserve"> </w:t>
      </w:r>
      <w:r w:rsidR="00402C07" w:rsidRPr="00402C07">
        <w:rPr>
          <w:lang w:val="es-MX"/>
        </w:rPr>
        <w:t>todavía</w:t>
      </w:r>
      <w:r w:rsidRPr="00402C07">
        <w:rPr>
          <w:lang w:val="es-MX"/>
        </w:rPr>
        <w:t xml:space="preserve"> se usa en Hawái.</w:t>
      </w:r>
    </w:p>
    <w:p w14:paraId="00D5A86B" w14:textId="77777777" w:rsidR="006C6CF4" w:rsidRPr="00402C07" w:rsidRDefault="006C6CF4" w:rsidP="00F03E95">
      <w:pPr>
        <w:pStyle w:val="NoSpacing"/>
        <w:rPr>
          <w:lang w:val="es-MX"/>
        </w:rPr>
      </w:pPr>
    </w:p>
    <w:p w14:paraId="76AF932D" w14:textId="146E0AB6" w:rsidR="00066677" w:rsidRPr="00402C07" w:rsidRDefault="006C6CF4" w:rsidP="00F03E95">
      <w:pPr>
        <w:pStyle w:val="NoSpacing"/>
        <w:rPr>
          <w:lang w:val="es-MX"/>
        </w:rPr>
      </w:pPr>
      <w:r w:rsidRPr="00402C07">
        <w:rPr>
          <w:lang w:val="es-MX"/>
        </w:rPr>
        <w:t>Después de años de abogacía para preservar el idioma hawaiano, en 1978 Hawái se convirtió en el único estado con dos idiomas oficiales: inglés y hawaiano. Desde entonces, el idioma hawaiano ha experimentado un resurgimiento entre todos los grupos étnicos, no sólo entre los nativos hawaianos.</w:t>
      </w:r>
    </w:p>
    <w:p w14:paraId="58868047" w14:textId="77777777" w:rsidR="006C6CF4" w:rsidRPr="00402C07" w:rsidRDefault="006C6CF4" w:rsidP="00F03E95">
      <w:pPr>
        <w:pStyle w:val="NoSpacing"/>
        <w:rPr>
          <w:lang w:val="es-MX"/>
        </w:rPr>
      </w:pPr>
    </w:p>
    <w:p w14:paraId="0A8AA862" w14:textId="4F5C48E2" w:rsidR="00850199" w:rsidRPr="00165FB5" w:rsidRDefault="00850199" w:rsidP="00850199">
      <w:pPr>
        <w:pStyle w:val="NoSpacing"/>
        <w:rPr>
          <w:rFonts w:cstheme="minorHAnsi"/>
          <w:b/>
          <w:bCs/>
          <w:color w:val="660000"/>
          <w:lang w:val="es-MX"/>
        </w:rPr>
      </w:pPr>
      <w:r w:rsidRPr="00165FB5">
        <w:rPr>
          <w:rFonts w:cstheme="minorHAnsi"/>
          <w:b/>
          <w:bCs/>
          <w:color w:val="660000"/>
          <w:lang w:val="es-MX"/>
        </w:rPr>
        <w:t>La hermosa tierra hawaiana</w:t>
      </w:r>
    </w:p>
    <w:p w14:paraId="5FDF17C9" w14:textId="0DD0FF1E" w:rsidR="00212102" w:rsidRPr="00402C07" w:rsidRDefault="006C6CF4" w:rsidP="00212102">
      <w:pPr>
        <w:pStyle w:val="NoSpacing"/>
        <w:rPr>
          <w:lang w:val="es-MX"/>
        </w:rPr>
      </w:pPr>
      <w:r w:rsidRPr="00165FB5">
        <w:rPr>
          <w:szCs w:val="23"/>
          <w:lang w:val="es-MX"/>
        </w:rPr>
        <w:t xml:space="preserve">Bajo la presión de los extranjeros que promovían un sistema de propiedad de la tierra más occidentalizado, en 1820, </w:t>
      </w:r>
      <w:r w:rsidR="00222143" w:rsidRPr="00165FB5">
        <w:rPr>
          <w:szCs w:val="23"/>
          <w:lang w:val="es-MX"/>
        </w:rPr>
        <w:t xml:space="preserve">el entonces </w:t>
      </w:r>
      <w:r w:rsidRPr="00165FB5">
        <w:rPr>
          <w:szCs w:val="23"/>
          <w:lang w:val="es-MX"/>
        </w:rPr>
        <w:t xml:space="preserve">rey propuso una redistribución de la tierra </w:t>
      </w:r>
      <w:r w:rsidR="00222143" w:rsidRPr="00165FB5">
        <w:rPr>
          <w:szCs w:val="23"/>
          <w:lang w:val="es-MX"/>
        </w:rPr>
        <w:t>que la dividía</w:t>
      </w:r>
      <w:r w:rsidRPr="00165FB5">
        <w:rPr>
          <w:szCs w:val="23"/>
          <w:lang w:val="es-MX"/>
        </w:rPr>
        <w:t xml:space="preserve"> en tres clasificaciones: corona, gobierno y tierra </w:t>
      </w:r>
      <w:r w:rsidRPr="00165FB5">
        <w:rPr>
          <w:i/>
          <w:iCs/>
          <w:szCs w:val="23"/>
          <w:lang w:val="es-MX"/>
        </w:rPr>
        <w:t>Konohiki</w:t>
      </w:r>
      <w:r w:rsidRPr="00165FB5">
        <w:rPr>
          <w:szCs w:val="23"/>
          <w:lang w:val="es-MX"/>
        </w:rPr>
        <w:t xml:space="preserve">. </w:t>
      </w:r>
      <w:r w:rsidR="00853C9D" w:rsidRPr="00165FB5">
        <w:rPr>
          <w:szCs w:val="23"/>
          <w:lang w:val="es-MX"/>
        </w:rPr>
        <w:t>(</w:t>
      </w:r>
      <w:r w:rsidR="00475519" w:rsidRPr="00165FB5">
        <w:rPr>
          <w:szCs w:val="23"/>
          <w:lang w:val="es-MX"/>
        </w:rPr>
        <w:t xml:space="preserve">Un </w:t>
      </w:r>
      <w:r w:rsidR="00475519" w:rsidRPr="00165FB5">
        <w:rPr>
          <w:bCs/>
          <w:i/>
          <w:iCs/>
          <w:color w:val="000000" w:themeColor="text1"/>
          <w:szCs w:val="23"/>
          <w:lang w:val="es-MX"/>
        </w:rPr>
        <w:t>konohiki</w:t>
      </w:r>
      <w:r w:rsidR="00475519" w:rsidRPr="00165FB5">
        <w:rPr>
          <w:color w:val="000000" w:themeColor="text1"/>
          <w:szCs w:val="23"/>
          <w:lang w:val="es-MX"/>
        </w:rPr>
        <w:t xml:space="preserve"> </w:t>
      </w:r>
      <w:r w:rsidR="00475519" w:rsidRPr="00165FB5">
        <w:rPr>
          <w:szCs w:val="23"/>
          <w:lang w:val="es-MX"/>
        </w:rPr>
        <w:t xml:space="preserve">es un jefe de una división de tierras del Reino de Hawái que administraba la tierra gobernada por un jefe de la nobleza tradicional.) </w:t>
      </w:r>
      <w:r w:rsidRPr="00165FB5">
        <w:rPr>
          <w:szCs w:val="23"/>
          <w:lang w:val="es-MX"/>
        </w:rPr>
        <w:t>Después de nuevos cambios en la política y el sistema, los extranjeros y los hawaianos podrían comprar "tierras</w:t>
      </w:r>
      <w:r w:rsidR="00222143" w:rsidRPr="00165FB5">
        <w:rPr>
          <w:szCs w:val="23"/>
          <w:lang w:val="es-MX"/>
        </w:rPr>
        <w:t xml:space="preserve"> de tarifa</w:t>
      </w:r>
      <w:r w:rsidRPr="00165FB5">
        <w:rPr>
          <w:szCs w:val="23"/>
          <w:lang w:val="es-MX"/>
        </w:rPr>
        <w:t xml:space="preserve"> simples</w:t>
      </w:r>
      <w:r w:rsidR="00831617" w:rsidRPr="00165FB5">
        <w:rPr>
          <w:szCs w:val="23"/>
          <w:lang w:val="es-MX"/>
        </w:rPr>
        <w:t>.</w:t>
      </w:r>
      <w:r w:rsidRPr="00165FB5">
        <w:rPr>
          <w:szCs w:val="23"/>
          <w:lang w:val="es-MX"/>
        </w:rPr>
        <w:t xml:space="preserve">" </w:t>
      </w:r>
      <w:r w:rsidR="006B7C55">
        <w:rPr>
          <w:bCs/>
          <w:i/>
          <w:iCs/>
          <w:lang w:val="es-MX"/>
        </w:rPr>
        <w:t>(</w:t>
      </w:r>
      <w:r w:rsidR="00124775" w:rsidRPr="003E6A75">
        <w:rPr>
          <w:b/>
          <w:i/>
          <w:iCs/>
          <w:color w:val="800000"/>
          <w:lang w:val="es-MX"/>
        </w:rPr>
        <w:t>Tarifa simple</w:t>
      </w:r>
      <w:r w:rsidR="00124775" w:rsidRPr="003E6A75">
        <w:rPr>
          <w:color w:val="800000"/>
          <w:lang w:val="es-MX"/>
        </w:rPr>
        <w:t xml:space="preserve"> </w:t>
      </w:r>
      <w:r w:rsidR="00124775" w:rsidRPr="00720DC2">
        <w:rPr>
          <w:lang w:val="es-MX"/>
        </w:rPr>
        <w:t xml:space="preserve">es un término utilizado en bienes raíces o propiedad de la tierra. El </w:t>
      </w:r>
      <w:r w:rsidR="00124775">
        <w:rPr>
          <w:lang w:val="es-MX"/>
        </w:rPr>
        <w:t>dueño</w:t>
      </w:r>
      <w:r w:rsidR="00124775" w:rsidRPr="00720DC2">
        <w:rPr>
          <w:lang w:val="es-MX"/>
        </w:rPr>
        <w:t xml:space="preserve"> de la propiedad tiene la propiedad completa e irrevocable de la tierra y cualquier edificio en esa tierra. Es libre de hacer lo que quiera en la tierra sujeta a las ordenanzas locales de zonificación.</w:t>
      </w:r>
      <w:r w:rsidR="006B7C55">
        <w:rPr>
          <w:lang w:val="es-MX"/>
        </w:rPr>
        <w:t>)</w:t>
      </w:r>
      <w:r w:rsidR="00B6718E">
        <w:rPr>
          <w:lang w:val="es-MX"/>
        </w:rPr>
        <w:t xml:space="preserve">  </w:t>
      </w:r>
      <w:r w:rsidRPr="00165FB5">
        <w:rPr>
          <w:szCs w:val="23"/>
          <w:lang w:val="es-MX"/>
        </w:rPr>
        <w:t>Sin embargo, había reglas estrictas para la obtención de tierras. Los nativos hawaianos y los extranjeros debían demostrar</w:t>
      </w:r>
      <w:r w:rsidRPr="00402C07">
        <w:rPr>
          <w:lang w:val="es-MX"/>
        </w:rPr>
        <w:t xml:space="preserve"> (a través de </w:t>
      </w:r>
      <w:r w:rsidR="00222143" w:rsidRPr="00402C07">
        <w:rPr>
          <w:lang w:val="es-MX"/>
        </w:rPr>
        <w:t>estudios</w:t>
      </w:r>
      <w:r w:rsidRPr="00402C07">
        <w:rPr>
          <w:lang w:val="es-MX"/>
        </w:rPr>
        <w:t xml:space="preserve"> de tierras) que su tierra estaba siendo cultivada para ganarse la vida. La mayoría de los nativos hawaianos no tenían el dinero para pagar </w:t>
      </w:r>
      <w:r w:rsidR="00222143" w:rsidRPr="00402C07">
        <w:rPr>
          <w:lang w:val="es-MX"/>
        </w:rPr>
        <w:t>estudios</w:t>
      </w:r>
      <w:r w:rsidRPr="00402C07">
        <w:rPr>
          <w:lang w:val="es-MX"/>
        </w:rPr>
        <w:t xml:space="preserve"> o para mantenerse al día con los requisitos de poseer tierras. ¿El resultado? Debido a la falta de plazos de presentación y su incapacidad para pagar impuestos, los nativos hawaianos terminaron con sólo el 1% </w:t>
      </w:r>
      <w:r w:rsidR="00222143" w:rsidRPr="00402C07">
        <w:rPr>
          <w:lang w:val="es-MX"/>
        </w:rPr>
        <w:t>del</w:t>
      </w:r>
      <w:r w:rsidRPr="00402C07">
        <w:rPr>
          <w:lang w:val="es-MX"/>
        </w:rPr>
        <w:t xml:space="preserve"> total</w:t>
      </w:r>
      <w:r w:rsidR="00222143" w:rsidRPr="00402C07">
        <w:rPr>
          <w:lang w:val="es-MX"/>
        </w:rPr>
        <w:t xml:space="preserve"> de tierras</w:t>
      </w:r>
      <w:r w:rsidRPr="00402C07">
        <w:rPr>
          <w:lang w:val="es-MX"/>
        </w:rPr>
        <w:t xml:space="preserve"> disponible.</w:t>
      </w:r>
    </w:p>
    <w:p w14:paraId="7EA342F8" w14:textId="77777777" w:rsidR="00711580" w:rsidRDefault="00711580" w:rsidP="00212102">
      <w:pPr>
        <w:pStyle w:val="NoSpacing"/>
        <w:rPr>
          <w:lang w:val="es-MX"/>
        </w:rPr>
      </w:pPr>
    </w:p>
    <w:p w14:paraId="40EC5F46" w14:textId="1085F8B7" w:rsidR="00F03E95" w:rsidRPr="00402C07" w:rsidRDefault="00222143" w:rsidP="00212102">
      <w:pPr>
        <w:pStyle w:val="NoSpacing"/>
        <w:rPr>
          <w:lang w:val="es-MX"/>
        </w:rPr>
      </w:pPr>
      <w:r w:rsidRPr="00402C07">
        <w:rPr>
          <w:lang w:val="es-MX"/>
        </w:rPr>
        <w:t>Esta injusticia abrumó a los nativos hawaianos. Habían perdido más del 90% de sus tierras frente a extranjeros, que intercambiaron y crearon sistemas occidentalizados y restricciones que los nativos hawaianos no podían enfrentar causaron un profundo dolor y traumas duraderos</w:t>
      </w:r>
      <w:r w:rsidR="00F03E95" w:rsidRPr="00402C07">
        <w:rPr>
          <w:lang w:val="es-MX"/>
        </w:rPr>
        <w:t>.</w:t>
      </w:r>
    </w:p>
    <w:p w14:paraId="4BABAE68" w14:textId="3E1032E7" w:rsidR="00592EAD" w:rsidRPr="00402C07" w:rsidRDefault="00592EAD" w:rsidP="00F03E95">
      <w:pPr>
        <w:pStyle w:val="NoSpacing"/>
        <w:rPr>
          <w:lang w:val="es-MX"/>
        </w:rPr>
      </w:pPr>
    </w:p>
    <w:p w14:paraId="2C330F5A" w14:textId="627348E6" w:rsidR="00F03E95" w:rsidRPr="00402C07" w:rsidRDefault="00850199" w:rsidP="00F03E95">
      <w:pPr>
        <w:pStyle w:val="NoSpacing"/>
        <w:rPr>
          <w:lang w:val="es-MX"/>
        </w:rPr>
      </w:pPr>
      <w:r w:rsidRPr="00402C07">
        <w:rPr>
          <w:rFonts w:ascii="MinionPro-Bold" w:hAnsi="MinionPro-Bold" w:cs="MinionPro-Bold"/>
          <w:b/>
          <w:bCs/>
          <w:color w:val="660000"/>
          <w:lang w:val="es-MX"/>
        </w:rPr>
        <w:t>Políticas de Segregación Racial</w:t>
      </w:r>
      <w:r w:rsidR="00222143" w:rsidRPr="00402C07">
        <w:rPr>
          <w:lang w:val="es-MX"/>
        </w:rPr>
        <w:br/>
        <w:t xml:space="preserve">En los años previos y posteriores al derrocamiento de la reina </w:t>
      </w:r>
      <w:r w:rsidR="00402C07" w:rsidRPr="00402C07">
        <w:rPr>
          <w:lang w:val="es-MX"/>
        </w:rPr>
        <w:t>Lili ‘</w:t>
      </w:r>
      <w:r w:rsidR="00222143" w:rsidRPr="00402C07">
        <w:rPr>
          <w:lang w:val="es-MX"/>
        </w:rPr>
        <w:t xml:space="preserve">uokalani, la </w:t>
      </w:r>
      <w:r w:rsidR="00402C07" w:rsidRPr="00402C07">
        <w:rPr>
          <w:lang w:val="es-MX"/>
        </w:rPr>
        <w:t>últim</w:t>
      </w:r>
      <w:r w:rsidR="00EF1CB8">
        <w:rPr>
          <w:lang w:val="es-MX"/>
        </w:rPr>
        <w:t>a</w:t>
      </w:r>
      <w:r w:rsidR="00402C07" w:rsidRPr="00402C07">
        <w:rPr>
          <w:lang w:val="es-MX"/>
        </w:rPr>
        <w:t xml:space="preserve"> monarca reinante</w:t>
      </w:r>
      <w:r w:rsidR="00222143" w:rsidRPr="00402C07">
        <w:rPr>
          <w:lang w:val="es-MX"/>
        </w:rPr>
        <w:t xml:space="preserve">, se implementaron políticas que contribuyeron a la segregación racial en Hawái, incluida la prohibición del idioma hawaiano en las escuelas y el gobierno estatal. Ahora, los extranjeros eran propietarios de la mayor parte de las tierras no gubernamentales y se beneficiaban del valor de la producción agrícola en Hawái. Los hawaianos nativos se unieron a trabajadores contratados de Japón, China, Corea, Portugal, Puerto Rico y Filipinas, trabajando largas horas en las plantaciones por muy poco dinero. La avalancha de misioneros en </w:t>
      </w:r>
      <w:r w:rsidR="00402C07" w:rsidRPr="00402C07">
        <w:rPr>
          <w:lang w:val="es-MX"/>
        </w:rPr>
        <w:t>Hawái</w:t>
      </w:r>
      <w:r w:rsidR="00222143" w:rsidRPr="00402C07">
        <w:rPr>
          <w:lang w:val="es-MX"/>
        </w:rPr>
        <w:t xml:space="preserve"> socavó aún más el orden natural nacional de los asuntos; influyeron activamente en los funcionarios para que denunciaran y negaran la práctica de las tradiciones culturales nativas de Hawái.</w:t>
      </w:r>
    </w:p>
    <w:p w14:paraId="02C467A2" w14:textId="0ECC631D" w:rsidR="00592EAD" w:rsidRPr="00402C07" w:rsidRDefault="00BE6D40" w:rsidP="00F03E95">
      <w:pPr>
        <w:pStyle w:val="NoSpacing"/>
        <w:rPr>
          <w:lang w:val="es-MX"/>
        </w:rPr>
      </w:pPr>
      <w:r w:rsidRPr="00402C07">
        <w:rPr>
          <w:i/>
          <w:noProof/>
          <w:lang w:val="es-MX"/>
        </w:rPr>
        <w:lastRenderedPageBreak/>
        <mc:AlternateContent>
          <mc:Choice Requires="wps">
            <w:drawing>
              <wp:anchor distT="0" distB="0" distL="114300" distR="114300" simplePos="0" relativeHeight="251653630" behindDoc="1" locked="0" layoutInCell="1" allowOverlap="1" wp14:anchorId="503C72B5" wp14:editId="39C961B8">
                <wp:simplePos x="0" y="0"/>
                <wp:positionH relativeFrom="column">
                  <wp:posOffset>-139700</wp:posOffset>
                </wp:positionH>
                <wp:positionV relativeFrom="paragraph">
                  <wp:posOffset>58420</wp:posOffset>
                </wp:positionV>
                <wp:extent cx="1345565" cy="1972945"/>
                <wp:effectExtent l="38100" t="38100" r="121285" b="122555"/>
                <wp:wrapTight wrapText="bothSides">
                  <wp:wrapPolygon edited="0">
                    <wp:start x="0" y="-417"/>
                    <wp:lineTo x="-612" y="-209"/>
                    <wp:lineTo x="-612" y="22107"/>
                    <wp:lineTo x="0" y="22733"/>
                    <wp:lineTo x="22630" y="22733"/>
                    <wp:lineTo x="23241" y="20022"/>
                    <wp:lineTo x="23241" y="2711"/>
                    <wp:lineTo x="22630" y="0"/>
                    <wp:lineTo x="22324" y="-417"/>
                    <wp:lineTo x="0" y="-417"/>
                  </wp:wrapPolygon>
                </wp:wrapTight>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45565" cy="1972945"/>
                        </a:xfrm>
                        <a:prstGeom prst="rect">
                          <a:avLst/>
                        </a:prstGeom>
                        <a:solidFill>
                          <a:schemeClr val="bg1"/>
                        </a:solidFill>
                        <a:ln>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4733D7" w14:textId="7A43970B" w:rsidR="00E17B99" w:rsidRDefault="00E17B99" w:rsidP="00E17B99">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C72B5" id="Rectangle 24" o:spid="_x0000_s1026" style="position:absolute;margin-left:-11pt;margin-top:4.6pt;width:105.95pt;height:155.35pt;z-index:-2516628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" fillcolor="white [3212]" strokecolor="#bfbfbf [2412]" strokeweight="1pt">
                <v:shadow on="t" color="black" opacity="26214f" origin="-.5,-.5" offset=".74836mm,.74836mm"/>
                <v:textbox>
                  <w:txbxContent>
                    <w:p w14:paraId="004733D7" w14:textId="7A43970B" w:rsidR="00E17B99" w:rsidRDefault="00E17B99" w:rsidP="00E17B99">
                      <w:pPr>
                        <w:jc w:val="center"/>
                      </w:pPr>
                      <w:r>
                        <w:t>D</w:t>
                      </w:r>
                    </w:p>
                  </w:txbxContent>
                </v:textbox>
                <w10:wrap type="tight"/>
              </v:rect>
            </w:pict>
          </mc:Fallback>
        </mc:AlternateContent>
      </w:r>
      <w:r w:rsidRPr="00BE6D40">
        <w:rPr>
          <w:noProof/>
          <w:lang w:val="es-MX"/>
        </w:rPr>
        <w:drawing>
          <wp:anchor distT="0" distB="0" distL="114300" distR="114300" simplePos="0" relativeHeight="251696128" behindDoc="1" locked="0" layoutInCell="1" allowOverlap="1" wp14:anchorId="11A64CFA" wp14:editId="33E3CD1E">
            <wp:simplePos x="0" y="0"/>
            <wp:positionH relativeFrom="column">
              <wp:posOffset>0</wp:posOffset>
            </wp:positionH>
            <wp:positionV relativeFrom="paragraph">
              <wp:posOffset>177800</wp:posOffset>
            </wp:positionV>
            <wp:extent cx="1142365" cy="1539875"/>
            <wp:effectExtent l="0" t="0" r="635" b="3175"/>
            <wp:wrapTight wrapText="bothSides">
              <wp:wrapPolygon edited="0">
                <wp:start x="0" y="0"/>
                <wp:lineTo x="0" y="21377"/>
                <wp:lineTo x="21252" y="21377"/>
                <wp:lineTo x="21252"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ueen Liliuokalan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2365" cy="1539875"/>
                    </a:xfrm>
                    <a:prstGeom prst="rect">
                      <a:avLst/>
                    </a:prstGeom>
                  </pic:spPr>
                </pic:pic>
              </a:graphicData>
            </a:graphic>
            <wp14:sizeRelH relativeFrom="margin">
              <wp14:pctWidth>0</wp14:pctWidth>
            </wp14:sizeRelH>
            <wp14:sizeRelV relativeFrom="margin">
              <wp14:pctHeight>0</wp14:pctHeight>
            </wp14:sizeRelV>
          </wp:anchor>
        </w:drawing>
      </w:r>
      <w:r w:rsidRPr="00BE6D40">
        <w:rPr>
          <w:noProof/>
          <w:lang w:val="es-MX"/>
        </w:rPr>
        <mc:AlternateContent>
          <mc:Choice Requires="wps">
            <w:drawing>
              <wp:anchor distT="0" distB="0" distL="114300" distR="114300" simplePos="0" relativeHeight="251697152" behindDoc="0" locked="0" layoutInCell="1" allowOverlap="1" wp14:anchorId="4540B783" wp14:editId="5ECCFE98">
                <wp:simplePos x="0" y="0"/>
                <wp:positionH relativeFrom="column">
                  <wp:posOffset>43815</wp:posOffset>
                </wp:positionH>
                <wp:positionV relativeFrom="paragraph">
                  <wp:posOffset>1673860</wp:posOffset>
                </wp:positionV>
                <wp:extent cx="1142365" cy="360045"/>
                <wp:effectExtent l="0" t="0" r="635" b="1905"/>
                <wp:wrapSquare wrapText="bothSides"/>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42365" cy="360045"/>
                        </a:xfrm>
                        <a:prstGeom prst="rect">
                          <a:avLst/>
                        </a:prstGeom>
                        <a:solidFill>
                          <a:prstClr val="white"/>
                        </a:solidFill>
                        <a:ln>
                          <a:noFill/>
                        </a:ln>
                      </wps:spPr>
                      <wps:txbx>
                        <w:txbxContent>
                          <w:p w14:paraId="046EC770" w14:textId="77777777" w:rsidR="00BE6D40" w:rsidRPr="00F2354C" w:rsidRDefault="00BE6D40" w:rsidP="00BE6D40">
                            <w:pPr>
                              <w:pStyle w:val="Caption"/>
                              <w:jc w:val="center"/>
                              <w:rPr>
                                <w:b/>
                                <w:bCs/>
                                <w:color w:val="000000" w:themeColor="text1"/>
                                <w:sz w:val="20"/>
                                <w:szCs w:val="20"/>
                              </w:rPr>
                            </w:pPr>
                            <w:r w:rsidRPr="00F2354C">
                              <w:rPr>
                                <w:b/>
                                <w:bCs/>
                                <w:color w:val="000000" w:themeColor="text1"/>
                                <w:sz w:val="20"/>
                                <w:szCs w:val="20"/>
                              </w:rPr>
                              <w:t>Dibujo de la reina Lili'uokalani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540B783" id="_x0000_t202" coordsize="21600,21600" o:spt="202" path="m,l,21600r21600,l21600,xe">
                <v:stroke joinstyle="miter"/>
                <v:path gradientshapeok="t" o:connecttype="rect"/>
              </v:shapetype>
              <v:shape id="Text Box 23" o:spid="_x0000_s1027" type="#_x0000_t202" style="position:absolute;margin-left:3.45pt;margin-top:131.8pt;width:89.95pt;height:28.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" stroked="f">
                <v:textbox inset="0,0,0,0">
                  <w:txbxContent>
                    <w:p w14:paraId="046EC770" w14:textId="77777777" w:rsidR="00BE6D40" w:rsidRPr="00F2354C" w:rsidRDefault="00BE6D40" w:rsidP="00BE6D40">
                      <w:pPr>
                        <w:pStyle w:val="Caption"/>
                        <w:jc w:val="center"/>
                        <w:rPr>
                          <w:b/>
                          <w:bCs/>
                          <w:color w:val="000000" w:themeColor="text1"/>
                          <w:sz w:val="20"/>
                          <w:szCs w:val="20"/>
                        </w:rPr>
                      </w:pPr>
                      <w:r w:rsidRPr="00F2354C">
                        <w:rPr>
                          <w:b/>
                          <w:bCs/>
                          <w:color w:val="000000" w:themeColor="text1"/>
                          <w:sz w:val="20"/>
                          <w:szCs w:val="20"/>
                        </w:rPr>
                        <w:t>Dibujo de la reina Lili'uokalani</w:t>
                      </w:r>
                    </w:p>
                  </w:txbxContent>
                </v:textbox>
                <w10:wrap type="square"/>
              </v:shape>
            </w:pict>
          </mc:Fallback>
        </mc:AlternateContent>
      </w:r>
    </w:p>
    <w:p w14:paraId="0A555771" w14:textId="23B733D1" w:rsidR="00592EAD" w:rsidRPr="00402C07" w:rsidRDefault="00850199" w:rsidP="00F03E95">
      <w:pPr>
        <w:pStyle w:val="NoSpacing"/>
        <w:rPr>
          <w:lang w:val="es-MX"/>
        </w:rPr>
      </w:pPr>
      <w:r w:rsidRPr="00402C07">
        <w:rPr>
          <w:rFonts w:ascii="MinionPro-Bold" w:hAnsi="MinionPro-Bold" w:cs="MinionPro-Bold"/>
          <w:b/>
          <w:bCs/>
          <w:color w:val="660000"/>
          <w:lang w:val="es-MX"/>
        </w:rPr>
        <w:t xml:space="preserve">Identidad de los nativos hawaianos </w:t>
      </w:r>
      <w:r w:rsidR="00AD133C" w:rsidRPr="00402C07">
        <w:rPr>
          <w:lang w:val="es-MX"/>
        </w:rPr>
        <w:br/>
        <w:t>La ascendencia y la genealogía han sido durante mucho tiempo el núcleo de la identidad nacional de los nativos hawaianos. Tradicionalmente, las costumbres de los nativos hawaianos se transmitían oralmente y, más tarde, a través de periódicos en idioma hawaiano. Cuando había un rey o una reina, se promovía una fuerte identidad nacional a través del arte y la literatura para proteger la independencia de Hawái.</w:t>
      </w:r>
    </w:p>
    <w:p w14:paraId="1CDE64A6" w14:textId="77777777" w:rsidR="00AD133C" w:rsidRPr="00402C07" w:rsidRDefault="00AD133C" w:rsidP="00F03E95">
      <w:pPr>
        <w:pStyle w:val="NoSpacing"/>
        <w:rPr>
          <w:lang w:val="es-MX"/>
        </w:rPr>
      </w:pPr>
    </w:p>
    <w:p w14:paraId="4874B689" w14:textId="097DD6DA" w:rsidR="00F03E95" w:rsidRPr="00402C07" w:rsidRDefault="00332D11" w:rsidP="00F03E95">
      <w:pPr>
        <w:pStyle w:val="NoSpacing"/>
        <w:rPr>
          <w:sz w:val="13"/>
          <w:szCs w:val="13"/>
          <w:lang w:val="es-MX"/>
        </w:rPr>
      </w:pPr>
      <w:r w:rsidRPr="00402C07">
        <w:rPr>
          <w:lang w:val="es-MX"/>
        </w:rPr>
        <w:t xml:space="preserve">Sin embargo, con la introducción de los mercados de transporte y comercio </w:t>
      </w:r>
      <w:r w:rsidR="000E32CA" w:rsidRPr="00402C07">
        <w:rPr>
          <w:lang w:val="es-MX"/>
        </w:rPr>
        <w:t>a través</w:t>
      </w:r>
      <w:r w:rsidRPr="00402C07">
        <w:rPr>
          <w:lang w:val="es-MX"/>
        </w:rPr>
        <w:t xml:space="preserve"> </w:t>
      </w:r>
      <w:r w:rsidR="000E32CA" w:rsidRPr="00402C07">
        <w:rPr>
          <w:lang w:val="es-MX"/>
        </w:rPr>
        <w:t>d</w:t>
      </w:r>
      <w:r w:rsidRPr="00402C07">
        <w:rPr>
          <w:lang w:val="es-MX"/>
        </w:rPr>
        <w:t xml:space="preserve">el Pacífico, Hawái se convirtió en un crisol de diversas etnias. En poblaciones de islas pequeñas, los matrimonios interraciales ocurrieron entre todas las etnias. En la década de 1900, los nativos hawaianos que se identificaban a sí mismos como "100% </w:t>
      </w:r>
      <w:r w:rsidR="001E3824" w:rsidRPr="00402C07">
        <w:rPr>
          <w:lang w:val="es-MX"/>
        </w:rPr>
        <w:t>puro de sangre</w:t>
      </w:r>
      <w:r w:rsidRPr="00402C07">
        <w:rPr>
          <w:lang w:val="es-MX"/>
        </w:rPr>
        <w:t>" se casarían fuera de su cultura nativa hawaiana, y el número de nativos hawaianos de pura sangre disminuyó en un 50%. En ese momento, la población de nativos hawaianos se estimó en más de 80.000.</w:t>
      </w:r>
      <w:r w:rsidR="003E4201" w:rsidRPr="00402C07">
        <w:rPr>
          <w:b/>
          <w:vertAlign w:val="superscript"/>
          <w:lang w:val="es-MX"/>
        </w:rPr>
        <w:t>4</w:t>
      </w:r>
    </w:p>
    <w:p w14:paraId="3AD2D48C" w14:textId="77777777" w:rsidR="00955C5E" w:rsidRPr="00402C07" w:rsidRDefault="00955C5E" w:rsidP="00F03E95">
      <w:pPr>
        <w:pStyle w:val="NoSpacing"/>
        <w:rPr>
          <w:sz w:val="13"/>
          <w:szCs w:val="13"/>
          <w:lang w:val="es-MX"/>
        </w:rPr>
      </w:pPr>
    </w:p>
    <w:p w14:paraId="4B9A9FB0" w14:textId="3DAB29C6" w:rsidR="00F03E95" w:rsidRPr="00402C07" w:rsidRDefault="001E3824" w:rsidP="00F03E95">
      <w:pPr>
        <w:pStyle w:val="NoSpacing"/>
        <w:rPr>
          <w:lang w:val="es-MX"/>
        </w:rPr>
      </w:pPr>
      <w:r w:rsidRPr="00402C07">
        <w:rPr>
          <w:lang w:val="es-MX"/>
        </w:rPr>
        <w:t>A pesar de su traumática historia, los nativos hawaianos han seguido perdurando como un pueblo único, distinto y digno. Buscan apasionadamente medidas de protección para recuperar las tradiciones. Consideran la tierra como una perpetuación de su espiritualidad e identidad cultural, al igual que sus antepasados. Y así abogan por que esas tierras ancestrales sagradas sean devueltas a su pueblo</w:t>
      </w:r>
      <w:r w:rsidR="00F03E95" w:rsidRPr="00402C07">
        <w:rPr>
          <w:lang w:val="es-MX"/>
        </w:rPr>
        <w:t>.</w:t>
      </w:r>
    </w:p>
    <w:p w14:paraId="2599CE29" w14:textId="44CD926D" w:rsidR="002001CD" w:rsidRPr="00402C07" w:rsidRDefault="001E3824" w:rsidP="00F03E95">
      <w:pPr>
        <w:pStyle w:val="NoSpacing"/>
        <w:rPr>
          <w:lang w:val="es-MX"/>
        </w:rPr>
      </w:pPr>
      <w:r w:rsidRPr="00402C07">
        <w:rPr>
          <w:lang w:val="es-MX"/>
        </w:rPr>
        <w:br/>
        <w:t>Hoy en día, se han establecido muchos programas de inmersión en el idioma hawaiano (HLIM, por sus siglas en ingles) y están ayudando a los jóvenes hawaianos a volver a conectarse con su cultura, idioma e identidad nativa hawaiana.</w:t>
      </w:r>
    </w:p>
    <w:p w14:paraId="7E018E2F" w14:textId="77777777" w:rsidR="001E3824" w:rsidRPr="00402C07" w:rsidRDefault="001E3824" w:rsidP="00F03E95">
      <w:pPr>
        <w:pStyle w:val="NoSpacing"/>
        <w:rPr>
          <w:lang w:val="es-MX"/>
        </w:rPr>
      </w:pPr>
    </w:p>
    <w:p w14:paraId="3974E844" w14:textId="77777777" w:rsidR="0045776B" w:rsidRDefault="00850199" w:rsidP="00EF1CB8">
      <w:pPr>
        <w:pStyle w:val="NoSpacing"/>
        <w:spacing w:after="120"/>
        <w:rPr>
          <w:rFonts w:ascii="MinionPro-Bold" w:hAnsi="MinionPro-Bold" w:cs="MinionPro-Bold"/>
          <w:b/>
          <w:bCs/>
          <w:color w:val="660000"/>
          <w:lang w:val="es-MX"/>
        </w:rPr>
      </w:pPr>
      <w:r w:rsidRPr="00402C07">
        <w:rPr>
          <w:rFonts w:ascii="MinionPro-Bold" w:hAnsi="MinionPro-Bold" w:cs="MinionPro-Bold"/>
          <w:b/>
          <w:bCs/>
          <w:color w:val="660000"/>
          <w:lang w:val="es-MX"/>
        </w:rPr>
        <w:t>Referencias</w:t>
      </w:r>
    </w:p>
    <w:p w14:paraId="2C8235C2" w14:textId="77777777" w:rsidR="00EF1CB8" w:rsidRDefault="00F03E95" w:rsidP="00EF1CB8">
      <w:pPr>
        <w:pStyle w:val="NoSpacing"/>
        <w:spacing w:after="180"/>
        <w:rPr>
          <w:sz w:val="20"/>
          <w:szCs w:val="20"/>
          <w:lang w:val="es-MX"/>
        </w:rPr>
      </w:pPr>
      <w:r w:rsidRPr="00402C07">
        <w:rPr>
          <w:sz w:val="20"/>
          <w:szCs w:val="20"/>
          <w:lang w:val="es-MX"/>
        </w:rPr>
        <w:t>1—</w:t>
      </w:r>
      <w:r w:rsidR="001E3824" w:rsidRPr="00402C07">
        <w:rPr>
          <w:sz w:val="20"/>
          <w:szCs w:val="20"/>
          <w:lang w:val="es-MX"/>
        </w:rPr>
        <w:t xml:space="preserve"> Ley de 195. 1-2 2011 Leyes de Sesiones de Hawái (codificadas en Haw. Rev. Stat. Ch. 10H).</w:t>
      </w:r>
    </w:p>
    <w:p w14:paraId="015C8175" w14:textId="1A5510C5" w:rsidR="00EF1CB8" w:rsidRDefault="00F03E95" w:rsidP="00EF1CB8">
      <w:pPr>
        <w:pStyle w:val="NoSpacing"/>
        <w:spacing w:after="180"/>
        <w:rPr>
          <w:rStyle w:val="Hyperlink"/>
          <w:sz w:val="20"/>
          <w:szCs w:val="20"/>
          <w:lang w:val="es-MX"/>
        </w:rPr>
      </w:pPr>
      <w:r w:rsidRPr="00402C07">
        <w:rPr>
          <w:sz w:val="20"/>
          <w:szCs w:val="20"/>
          <w:lang w:val="es-MX"/>
        </w:rPr>
        <w:t>2—</w:t>
      </w:r>
      <w:r w:rsidR="00D93B84" w:rsidRPr="00D93B84">
        <w:rPr>
          <w:b/>
          <w:bCs/>
          <w:i/>
          <w:iCs/>
          <w:color w:val="800000"/>
          <w:sz w:val="22"/>
          <w:lang w:val="es-MX"/>
        </w:rPr>
        <w:t xml:space="preserve"> </w:t>
      </w:r>
      <w:r w:rsidR="00D93B84" w:rsidRPr="003E6A75">
        <w:rPr>
          <w:b/>
          <w:bCs/>
          <w:i/>
          <w:iCs/>
          <w:color w:val="800000"/>
          <w:sz w:val="22"/>
          <w:lang w:val="es-MX"/>
        </w:rPr>
        <w:t>Maoli</w:t>
      </w:r>
      <w:r w:rsidR="00D93B84" w:rsidRPr="00720DC2">
        <w:rPr>
          <w:sz w:val="22"/>
          <w:lang w:val="es-MX"/>
        </w:rPr>
        <w:t xml:space="preserve"> </w:t>
      </w:r>
      <w:r w:rsidR="00D93B84" w:rsidRPr="00720DC2">
        <w:rPr>
          <w:sz w:val="22"/>
          <w:lang w:val="es-ES"/>
        </w:rPr>
        <w:t>significa "nativo" en hawaiano, refiriéndose a un nativo del pueblo pol</w:t>
      </w:r>
      <w:r w:rsidR="00D93B84">
        <w:rPr>
          <w:sz w:val="22"/>
          <w:lang w:val="es-ES"/>
        </w:rPr>
        <w:t>inesio que se estableció en Hawá</w:t>
      </w:r>
      <w:r w:rsidR="00D93B84" w:rsidRPr="00720DC2">
        <w:rPr>
          <w:sz w:val="22"/>
          <w:lang w:val="es-ES"/>
        </w:rPr>
        <w:t>i.</w:t>
      </w:r>
      <w:r w:rsidR="00D93B84">
        <w:rPr>
          <w:sz w:val="22"/>
          <w:lang w:val="es-ES"/>
        </w:rPr>
        <w:t xml:space="preserve"> La cita es de: </w:t>
      </w:r>
      <w:r w:rsidR="001E3824" w:rsidRPr="00402C07">
        <w:rPr>
          <w:sz w:val="20"/>
          <w:szCs w:val="20"/>
          <w:lang w:val="es-MX"/>
        </w:rPr>
        <w:t xml:space="preserve">McGregor, D.P., &amp; MacKenzie, M.K. (2013, julio). </w:t>
      </w:r>
      <w:r w:rsidR="001E3824" w:rsidRPr="00402C07">
        <w:rPr>
          <w:i/>
          <w:sz w:val="20"/>
          <w:szCs w:val="20"/>
          <w:lang w:val="es-MX"/>
        </w:rPr>
        <w:t>Un breve resumen de la historia de la gobernanza nativa hawaiana en Hawái</w:t>
      </w:r>
      <w:r w:rsidR="001E3824" w:rsidRPr="00402C07">
        <w:rPr>
          <w:sz w:val="20"/>
          <w:szCs w:val="20"/>
          <w:lang w:val="es-MX"/>
        </w:rPr>
        <w:t xml:space="preserve">. Honolulu, Hawái: Oficina de Asuntos Hawaianos. En línea en: </w:t>
      </w:r>
      <w:hyperlink r:id="rId12" w:history="1">
        <w:r w:rsidR="00C670F8" w:rsidRPr="00402C07">
          <w:rPr>
            <w:rStyle w:val="Hyperlink"/>
            <w:sz w:val="20"/>
            <w:szCs w:val="20"/>
            <w:lang w:val="es-MX"/>
          </w:rPr>
          <w:t>http://www.kalihipalama.org/wp-content/uploads/2016/07/</w:t>
        </w:r>
        <w:r w:rsidRPr="00402C07">
          <w:rPr>
            <w:rStyle w:val="Hyperlink"/>
            <w:sz w:val="20"/>
            <w:szCs w:val="20"/>
            <w:lang w:val="es-MX"/>
          </w:rPr>
          <w:t>A-Brief-Summary-of-the-History-of-NH-Governance-in-HIJuly-2013.pdf</w:t>
        </w:r>
      </w:hyperlink>
    </w:p>
    <w:p w14:paraId="25342759" w14:textId="77777777" w:rsidR="00EF1CB8" w:rsidRDefault="00F03E95" w:rsidP="00EF1CB8">
      <w:pPr>
        <w:pStyle w:val="NoSpacing"/>
        <w:spacing w:after="180"/>
        <w:rPr>
          <w:color w:val="0045D7"/>
          <w:sz w:val="20"/>
          <w:szCs w:val="20"/>
          <w:lang w:val="es-MX"/>
        </w:rPr>
      </w:pPr>
      <w:r w:rsidRPr="00402C07">
        <w:rPr>
          <w:sz w:val="20"/>
          <w:szCs w:val="20"/>
          <w:lang w:val="es-MX"/>
        </w:rPr>
        <w:t>3—</w:t>
      </w:r>
      <w:r w:rsidR="001E3824" w:rsidRPr="00402C07">
        <w:rPr>
          <w:sz w:val="20"/>
          <w:szCs w:val="20"/>
          <w:lang w:val="es-MX"/>
        </w:rPr>
        <w:t xml:space="preserve"> Alexander, W. D. (1891). Una breve historia del pueblo hawaiano. Nueva York: American Book Company. En línea en: </w:t>
      </w:r>
      <w:hyperlink r:id="rId13" w:history="1">
        <w:r w:rsidR="00FE4EC1" w:rsidRPr="00402C07">
          <w:rPr>
            <w:rStyle w:val="Hyperlink"/>
            <w:sz w:val="20"/>
            <w:szCs w:val="20"/>
            <w:lang w:val="es-MX"/>
          </w:rPr>
          <w:t>https://www2.hawaii.edu/~anu/pdf/Brief_History_1891.pdf</w:t>
        </w:r>
      </w:hyperlink>
      <w:r w:rsidR="00FE4EC1" w:rsidRPr="00402C07">
        <w:rPr>
          <w:color w:val="0045D7"/>
          <w:sz w:val="20"/>
          <w:szCs w:val="20"/>
          <w:lang w:val="es-MX"/>
        </w:rPr>
        <w:t xml:space="preserve"> </w:t>
      </w:r>
    </w:p>
    <w:p w14:paraId="2C1596C5" w14:textId="4C597140" w:rsidR="00402C07" w:rsidRDefault="00F03E95" w:rsidP="008C468C">
      <w:pPr>
        <w:pStyle w:val="NoSpacing"/>
        <w:spacing w:after="180"/>
        <w:rPr>
          <w:color w:val="0045D7"/>
          <w:sz w:val="20"/>
          <w:szCs w:val="20"/>
          <w:lang w:val="es-MX"/>
        </w:rPr>
      </w:pPr>
      <w:r w:rsidRPr="00402C07">
        <w:rPr>
          <w:sz w:val="20"/>
          <w:szCs w:val="20"/>
          <w:lang w:val="es-MX"/>
        </w:rPr>
        <w:t xml:space="preserve">4— </w:t>
      </w:r>
      <w:r w:rsidR="001E3824" w:rsidRPr="00402C07">
        <w:rPr>
          <w:sz w:val="20"/>
          <w:szCs w:val="20"/>
          <w:lang w:val="es-MX"/>
        </w:rPr>
        <w:t xml:space="preserve">McGregor, D.P. y MacKenzie, M.K. (2014, agosto). </w:t>
      </w:r>
      <w:r w:rsidR="001E3824" w:rsidRPr="00402C07">
        <w:rPr>
          <w:i/>
          <w:sz w:val="20"/>
          <w:szCs w:val="20"/>
          <w:lang w:val="es-MX"/>
        </w:rPr>
        <w:t xml:space="preserve">Historia de la gobernanza de los nativos hawaianos en </w:t>
      </w:r>
      <w:r w:rsidR="00402C07" w:rsidRPr="00402C07">
        <w:rPr>
          <w:i/>
          <w:sz w:val="20"/>
          <w:szCs w:val="20"/>
          <w:lang w:val="es-MX"/>
        </w:rPr>
        <w:t>Hawái ‘</w:t>
      </w:r>
      <w:r w:rsidR="001E3824" w:rsidRPr="00402C07">
        <w:rPr>
          <w:i/>
          <w:sz w:val="20"/>
          <w:szCs w:val="20"/>
          <w:lang w:val="es-MX"/>
        </w:rPr>
        <w:t>i</w:t>
      </w:r>
      <w:r w:rsidR="001E3824" w:rsidRPr="00402C07">
        <w:rPr>
          <w:sz w:val="20"/>
          <w:szCs w:val="20"/>
          <w:lang w:val="es-MX"/>
        </w:rPr>
        <w:t xml:space="preserve">. Honolulu, </w:t>
      </w:r>
      <w:r w:rsidR="00402C07" w:rsidRPr="00402C07">
        <w:rPr>
          <w:sz w:val="20"/>
          <w:szCs w:val="20"/>
          <w:lang w:val="es-MX"/>
        </w:rPr>
        <w:t>Hawái ‘</w:t>
      </w:r>
      <w:r w:rsidR="001E3824" w:rsidRPr="00402C07">
        <w:rPr>
          <w:sz w:val="20"/>
          <w:szCs w:val="20"/>
          <w:lang w:val="es-MX"/>
        </w:rPr>
        <w:t xml:space="preserve">i: Oficina de Asuntos de </w:t>
      </w:r>
      <w:r w:rsidR="00402C07" w:rsidRPr="00402C07">
        <w:rPr>
          <w:sz w:val="20"/>
          <w:szCs w:val="20"/>
          <w:lang w:val="es-MX"/>
        </w:rPr>
        <w:t>Hawái</w:t>
      </w:r>
      <w:r w:rsidR="001E3824" w:rsidRPr="00402C07">
        <w:rPr>
          <w:sz w:val="20"/>
          <w:szCs w:val="20"/>
          <w:lang w:val="es-MX"/>
        </w:rPr>
        <w:t>. En línea en:</w:t>
      </w:r>
      <w:r w:rsidR="00402C07">
        <w:rPr>
          <w:sz w:val="20"/>
          <w:szCs w:val="20"/>
          <w:lang w:val="es-MX"/>
        </w:rPr>
        <w:t xml:space="preserve"> </w:t>
      </w:r>
      <w:hyperlink r:id="rId14" w:history="1">
        <w:r w:rsidR="00AC5E81" w:rsidRPr="00402C07">
          <w:rPr>
            <w:rStyle w:val="Hyperlink"/>
            <w:sz w:val="20"/>
            <w:szCs w:val="20"/>
            <w:lang w:val="es-MX"/>
          </w:rPr>
          <w:t>https://www.doi.gov/sites/doi.opengov.ibmcloud.com/files/uploads/McGregor-and-MacKenzie-History_of_Native_Hawaiian_Governance.pdf</w:t>
        </w:r>
      </w:hyperlink>
      <w:r w:rsidR="00451D2C">
        <w:rPr>
          <w:rStyle w:val="Hyperlink"/>
          <w:sz w:val="20"/>
          <w:szCs w:val="20"/>
          <w:lang w:val="es-MX"/>
        </w:rPr>
        <w:br/>
      </w:r>
    </w:p>
    <w:p w14:paraId="1DEC3BAD" w14:textId="0B8F7735" w:rsidR="00451D2C" w:rsidRPr="008C468C" w:rsidRDefault="00451D2C" w:rsidP="008C468C">
      <w:pPr>
        <w:pStyle w:val="NoSpacing"/>
        <w:spacing w:after="180"/>
        <w:rPr>
          <w:color w:val="0045D7"/>
          <w:sz w:val="20"/>
          <w:szCs w:val="20"/>
          <w:lang w:val="es-MX"/>
        </w:rPr>
      </w:pPr>
      <w:r>
        <w:rPr>
          <w:noProof/>
          <w:color w:val="0045D7"/>
          <w:sz w:val="20"/>
          <w:szCs w:val="20"/>
          <w:lang w:val="es-MX"/>
        </w:rPr>
        <w:drawing>
          <wp:inline distT="0" distB="0" distL="0" distR="0" wp14:anchorId="19DCD4CB" wp14:editId="440C0176">
            <wp:extent cx="638175" cy="590550"/>
            <wp:effectExtent l="0" t="0" r="9525" b="0"/>
            <wp:docPr id="3" name="Picture 3" descr="Logo of OSEP-funded projects: IDEAs th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s that Work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152" cy="598857"/>
                    </a:xfrm>
                    <a:prstGeom prst="rect">
                      <a:avLst/>
                    </a:prstGeom>
                  </pic:spPr>
                </pic:pic>
              </a:graphicData>
            </a:graphic>
          </wp:inline>
        </w:drawing>
      </w:r>
    </w:p>
    <w:p w14:paraId="2BEA3106" w14:textId="24C8F486" w:rsidR="00473A97" w:rsidRPr="00402C07" w:rsidRDefault="00402C07" w:rsidP="00451D2C">
      <w:pPr>
        <w:rPr>
          <w:rFonts w:cstheme="minorHAnsi"/>
          <w:sz w:val="24"/>
          <w:szCs w:val="24"/>
          <w:lang w:val="es-MX"/>
        </w:rPr>
      </w:pPr>
      <w:r w:rsidRPr="00FC3B64">
        <w:rPr>
          <w:rFonts w:cstheme="minorHAnsi"/>
          <w:i/>
          <w:lang w:val="es-MX"/>
        </w:rPr>
        <w:t>El CPIR es posible a través del número de acuerdo cooperativo H328R180005 entre OSEP y la Red Estatal de Defensoría de Padres (SPAN). El contenido de este documento no refleja necesariamente las opiniones o políticas del Departamento de Educación, ni la mención de nombres comerciales, productos comerciales u organizaciones implica el respaldo del Gobierno de los Estados Unidos.</w:t>
      </w:r>
      <w:r w:rsidR="00451D2C" w:rsidRPr="00402C07">
        <w:rPr>
          <w:rFonts w:cstheme="minorHAnsi"/>
          <w:sz w:val="24"/>
          <w:szCs w:val="24"/>
          <w:lang w:val="es-MX"/>
        </w:rPr>
        <w:t xml:space="preserve"> </w:t>
      </w:r>
    </w:p>
    <w:p w14:paraId="152FA236" w14:textId="584F1FF6" w:rsidR="00E3336A" w:rsidRPr="00402C07" w:rsidRDefault="00E3336A" w:rsidP="000E5B85">
      <w:pPr>
        <w:pStyle w:val="ListParagraph"/>
        <w:spacing w:before="240" w:after="120" w:line="240" w:lineRule="auto"/>
        <w:ind w:right="950"/>
        <w:rPr>
          <w:rFonts w:cstheme="minorHAnsi"/>
          <w:sz w:val="24"/>
          <w:szCs w:val="24"/>
          <w:lang w:val="es-MX"/>
        </w:rPr>
      </w:pPr>
    </w:p>
    <w:sectPr w:rsidR="00E3336A" w:rsidRPr="00402C07" w:rsidSect="00733159">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48728" w14:textId="77777777" w:rsidR="005A358E" w:rsidRDefault="005A358E" w:rsidP="00E3336A">
      <w:pPr>
        <w:spacing w:after="0" w:line="240" w:lineRule="auto"/>
      </w:pPr>
      <w:r>
        <w:separator/>
      </w:r>
    </w:p>
  </w:endnote>
  <w:endnote w:type="continuationSeparator" w:id="0">
    <w:p w14:paraId="07EE25D5" w14:textId="77777777" w:rsidR="005A358E" w:rsidRDefault="005A358E" w:rsidP="00E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MinionPr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3DD0E" w14:textId="77777777" w:rsidR="005A358E" w:rsidRDefault="005A358E" w:rsidP="00E3336A">
      <w:pPr>
        <w:spacing w:after="0" w:line="240" w:lineRule="auto"/>
      </w:pPr>
      <w:r>
        <w:separator/>
      </w:r>
    </w:p>
  </w:footnote>
  <w:footnote w:type="continuationSeparator" w:id="0">
    <w:p w14:paraId="70A29E60" w14:textId="77777777" w:rsidR="005A358E" w:rsidRDefault="005A358E" w:rsidP="00E33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BDB"/>
    <w:multiLevelType w:val="hybridMultilevel"/>
    <w:tmpl w:val="4BC2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44C3"/>
    <w:multiLevelType w:val="hybridMultilevel"/>
    <w:tmpl w:val="54F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093E"/>
    <w:multiLevelType w:val="hybridMultilevel"/>
    <w:tmpl w:val="8AF42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119E9"/>
    <w:multiLevelType w:val="hybridMultilevel"/>
    <w:tmpl w:val="465CC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5AD43B5"/>
    <w:multiLevelType w:val="hybridMultilevel"/>
    <w:tmpl w:val="4EE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4B06"/>
    <w:multiLevelType w:val="hybridMultilevel"/>
    <w:tmpl w:val="B91E421E"/>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6" w15:restartNumberingAfterBreak="0">
    <w:nsid w:val="4BDA357C"/>
    <w:multiLevelType w:val="hybridMultilevel"/>
    <w:tmpl w:val="0BC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C72E8"/>
    <w:multiLevelType w:val="hybridMultilevel"/>
    <w:tmpl w:val="F6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17E51"/>
    <w:multiLevelType w:val="hybridMultilevel"/>
    <w:tmpl w:val="12360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F7942"/>
    <w:multiLevelType w:val="hybridMultilevel"/>
    <w:tmpl w:val="40B4C72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2"/>
  </w:num>
  <w:num w:numId="6">
    <w:abstractNumId w:val="4"/>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s-MX" w:vendorID="64" w:dllVersion="6" w:nlCheck="1" w:checkStyle="0"/>
  <w:activeWritingStyle w:appName="MSWord" w:lang="es-ES" w:vendorID="64" w:dllVersion="6"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6A"/>
    <w:rsid w:val="00001103"/>
    <w:rsid w:val="0000663A"/>
    <w:rsid w:val="000106EB"/>
    <w:rsid w:val="00014C72"/>
    <w:rsid w:val="000163DD"/>
    <w:rsid w:val="000262A8"/>
    <w:rsid w:val="00031450"/>
    <w:rsid w:val="00033C3C"/>
    <w:rsid w:val="00040889"/>
    <w:rsid w:val="0004472F"/>
    <w:rsid w:val="00052EEB"/>
    <w:rsid w:val="000532C7"/>
    <w:rsid w:val="000655C7"/>
    <w:rsid w:val="00066677"/>
    <w:rsid w:val="0008275C"/>
    <w:rsid w:val="00085BC5"/>
    <w:rsid w:val="000862FC"/>
    <w:rsid w:val="00087406"/>
    <w:rsid w:val="00087EF3"/>
    <w:rsid w:val="0009003B"/>
    <w:rsid w:val="000A2F37"/>
    <w:rsid w:val="000A5B95"/>
    <w:rsid w:val="000B4F38"/>
    <w:rsid w:val="000B6838"/>
    <w:rsid w:val="000C13D5"/>
    <w:rsid w:val="000D571C"/>
    <w:rsid w:val="000D64B6"/>
    <w:rsid w:val="000E32CA"/>
    <w:rsid w:val="000E33B9"/>
    <w:rsid w:val="000E4356"/>
    <w:rsid w:val="000E5B85"/>
    <w:rsid w:val="00111784"/>
    <w:rsid w:val="00111EDD"/>
    <w:rsid w:val="00112300"/>
    <w:rsid w:val="00115DB1"/>
    <w:rsid w:val="00124775"/>
    <w:rsid w:val="00133D7B"/>
    <w:rsid w:val="00145457"/>
    <w:rsid w:val="00145F2A"/>
    <w:rsid w:val="00153264"/>
    <w:rsid w:val="0015775A"/>
    <w:rsid w:val="00163C15"/>
    <w:rsid w:val="00165AF3"/>
    <w:rsid w:val="00165FB5"/>
    <w:rsid w:val="00172C36"/>
    <w:rsid w:val="00173101"/>
    <w:rsid w:val="00176167"/>
    <w:rsid w:val="00182756"/>
    <w:rsid w:val="00183448"/>
    <w:rsid w:val="00191DDF"/>
    <w:rsid w:val="00195294"/>
    <w:rsid w:val="00196361"/>
    <w:rsid w:val="001A6EDD"/>
    <w:rsid w:val="001A7556"/>
    <w:rsid w:val="001E26AA"/>
    <w:rsid w:val="001E3824"/>
    <w:rsid w:val="001F2F9B"/>
    <w:rsid w:val="001F5139"/>
    <w:rsid w:val="001F59F8"/>
    <w:rsid w:val="001F64AC"/>
    <w:rsid w:val="00200155"/>
    <w:rsid w:val="002001CD"/>
    <w:rsid w:val="002120D9"/>
    <w:rsid w:val="00212102"/>
    <w:rsid w:val="0022082F"/>
    <w:rsid w:val="00222143"/>
    <w:rsid w:val="00227EE6"/>
    <w:rsid w:val="00246409"/>
    <w:rsid w:val="002522C3"/>
    <w:rsid w:val="002545A2"/>
    <w:rsid w:val="00257382"/>
    <w:rsid w:val="002604DA"/>
    <w:rsid w:val="00274169"/>
    <w:rsid w:val="00274D2F"/>
    <w:rsid w:val="00276835"/>
    <w:rsid w:val="00282DAF"/>
    <w:rsid w:val="0028425B"/>
    <w:rsid w:val="00284CC6"/>
    <w:rsid w:val="00286BF2"/>
    <w:rsid w:val="00291472"/>
    <w:rsid w:val="002A060E"/>
    <w:rsid w:val="002A6417"/>
    <w:rsid w:val="002B3EFC"/>
    <w:rsid w:val="002C53A3"/>
    <w:rsid w:val="002C5CA4"/>
    <w:rsid w:val="002D5EF9"/>
    <w:rsid w:val="002E20B0"/>
    <w:rsid w:val="002E359D"/>
    <w:rsid w:val="002E4298"/>
    <w:rsid w:val="002E517F"/>
    <w:rsid w:val="002E5199"/>
    <w:rsid w:val="002E7312"/>
    <w:rsid w:val="002F041D"/>
    <w:rsid w:val="002F08ED"/>
    <w:rsid w:val="002F0E6D"/>
    <w:rsid w:val="002F3874"/>
    <w:rsid w:val="002F4D69"/>
    <w:rsid w:val="002F5551"/>
    <w:rsid w:val="002F6B5B"/>
    <w:rsid w:val="00302783"/>
    <w:rsid w:val="0030731C"/>
    <w:rsid w:val="0031341E"/>
    <w:rsid w:val="0032655F"/>
    <w:rsid w:val="00327053"/>
    <w:rsid w:val="00327BDB"/>
    <w:rsid w:val="003309E5"/>
    <w:rsid w:val="00332D11"/>
    <w:rsid w:val="003505E9"/>
    <w:rsid w:val="00352318"/>
    <w:rsid w:val="0035416E"/>
    <w:rsid w:val="00355994"/>
    <w:rsid w:val="00362504"/>
    <w:rsid w:val="00363000"/>
    <w:rsid w:val="00366369"/>
    <w:rsid w:val="00367124"/>
    <w:rsid w:val="003734D4"/>
    <w:rsid w:val="00375AE4"/>
    <w:rsid w:val="003916F7"/>
    <w:rsid w:val="003A490D"/>
    <w:rsid w:val="003B7CEE"/>
    <w:rsid w:val="003C00C4"/>
    <w:rsid w:val="003C517D"/>
    <w:rsid w:val="003D207B"/>
    <w:rsid w:val="003D5960"/>
    <w:rsid w:val="003E4201"/>
    <w:rsid w:val="003E6A75"/>
    <w:rsid w:val="003F16B5"/>
    <w:rsid w:val="003F40F1"/>
    <w:rsid w:val="00402C07"/>
    <w:rsid w:val="00407C19"/>
    <w:rsid w:val="00407C8C"/>
    <w:rsid w:val="0041196B"/>
    <w:rsid w:val="00414475"/>
    <w:rsid w:val="004163BB"/>
    <w:rsid w:val="004336AF"/>
    <w:rsid w:val="00434015"/>
    <w:rsid w:val="004347B1"/>
    <w:rsid w:val="004479B6"/>
    <w:rsid w:val="00451212"/>
    <w:rsid w:val="004514C2"/>
    <w:rsid w:val="00451D2C"/>
    <w:rsid w:val="00456E2D"/>
    <w:rsid w:val="0045776B"/>
    <w:rsid w:val="004647C5"/>
    <w:rsid w:val="004712DD"/>
    <w:rsid w:val="00473A97"/>
    <w:rsid w:val="00475519"/>
    <w:rsid w:val="004844FF"/>
    <w:rsid w:val="00486546"/>
    <w:rsid w:val="00486A11"/>
    <w:rsid w:val="0048708D"/>
    <w:rsid w:val="004A46AB"/>
    <w:rsid w:val="004A55E8"/>
    <w:rsid w:val="004B2CF5"/>
    <w:rsid w:val="004B35EB"/>
    <w:rsid w:val="004B6574"/>
    <w:rsid w:val="004B7AD1"/>
    <w:rsid w:val="004C101D"/>
    <w:rsid w:val="004C486C"/>
    <w:rsid w:val="004E111D"/>
    <w:rsid w:val="004E18B7"/>
    <w:rsid w:val="004E5454"/>
    <w:rsid w:val="004E693B"/>
    <w:rsid w:val="004F1AA1"/>
    <w:rsid w:val="00507668"/>
    <w:rsid w:val="00507B06"/>
    <w:rsid w:val="00514F76"/>
    <w:rsid w:val="00521F26"/>
    <w:rsid w:val="00536523"/>
    <w:rsid w:val="00547E3B"/>
    <w:rsid w:val="005568B0"/>
    <w:rsid w:val="00566F16"/>
    <w:rsid w:val="00567796"/>
    <w:rsid w:val="00574296"/>
    <w:rsid w:val="0057646D"/>
    <w:rsid w:val="00577A40"/>
    <w:rsid w:val="00581A82"/>
    <w:rsid w:val="005835CE"/>
    <w:rsid w:val="00590808"/>
    <w:rsid w:val="00592EAD"/>
    <w:rsid w:val="00595783"/>
    <w:rsid w:val="005A358E"/>
    <w:rsid w:val="005A68AE"/>
    <w:rsid w:val="005C3EB8"/>
    <w:rsid w:val="005F0713"/>
    <w:rsid w:val="005F10DA"/>
    <w:rsid w:val="005F44FD"/>
    <w:rsid w:val="005F46F3"/>
    <w:rsid w:val="005F6D4B"/>
    <w:rsid w:val="00600788"/>
    <w:rsid w:val="00600814"/>
    <w:rsid w:val="006012E0"/>
    <w:rsid w:val="00605A68"/>
    <w:rsid w:val="00607805"/>
    <w:rsid w:val="0061068B"/>
    <w:rsid w:val="006216AB"/>
    <w:rsid w:val="00621EB9"/>
    <w:rsid w:val="00622CBB"/>
    <w:rsid w:val="00625913"/>
    <w:rsid w:val="006325CE"/>
    <w:rsid w:val="00640564"/>
    <w:rsid w:val="0064597B"/>
    <w:rsid w:val="00647E41"/>
    <w:rsid w:val="006516E4"/>
    <w:rsid w:val="0065223E"/>
    <w:rsid w:val="006549A9"/>
    <w:rsid w:val="006A5CF7"/>
    <w:rsid w:val="006B0481"/>
    <w:rsid w:val="006B1366"/>
    <w:rsid w:val="006B1697"/>
    <w:rsid w:val="006B1A0E"/>
    <w:rsid w:val="006B7C55"/>
    <w:rsid w:val="006C6CF4"/>
    <w:rsid w:val="006D0EE9"/>
    <w:rsid w:val="006D0FA1"/>
    <w:rsid w:val="006D2272"/>
    <w:rsid w:val="006D2342"/>
    <w:rsid w:val="006D724A"/>
    <w:rsid w:val="006F11D5"/>
    <w:rsid w:val="00710D12"/>
    <w:rsid w:val="00711580"/>
    <w:rsid w:val="007163E1"/>
    <w:rsid w:val="00720DC2"/>
    <w:rsid w:val="007220AD"/>
    <w:rsid w:val="00724AB7"/>
    <w:rsid w:val="00731DC2"/>
    <w:rsid w:val="00733159"/>
    <w:rsid w:val="0074054A"/>
    <w:rsid w:val="00750B1A"/>
    <w:rsid w:val="0076006A"/>
    <w:rsid w:val="0077218E"/>
    <w:rsid w:val="00774ADE"/>
    <w:rsid w:val="00783548"/>
    <w:rsid w:val="007841C2"/>
    <w:rsid w:val="00793F7E"/>
    <w:rsid w:val="007A0688"/>
    <w:rsid w:val="007A6C85"/>
    <w:rsid w:val="007B753E"/>
    <w:rsid w:val="007C5CD5"/>
    <w:rsid w:val="007D06EF"/>
    <w:rsid w:val="007D339D"/>
    <w:rsid w:val="007D65A5"/>
    <w:rsid w:val="007F25C0"/>
    <w:rsid w:val="008038A0"/>
    <w:rsid w:val="00815158"/>
    <w:rsid w:val="00822FB1"/>
    <w:rsid w:val="00823944"/>
    <w:rsid w:val="00830AED"/>
    <w:rsid w:val="00831617"/>
    <w:rsid w:val="0083380D"/>
    <w:rsid w:val="0084105F"/>
    <w:rsid w:val="00841F63"/>
    <w:rsid w:val="0084318F"/>
    <w:rsid w:val="00850199"/>
    <w:rsid w:val="00853C9D"/>
    <w:rsid w:val="00854043"/>
    <w:rsid w:val="00854F6B"/>
    <w:rsid w:val="00857388"/>
    <w:rsid w:val="0086293E"/>
    <w:rsid w:val="00874747"/>
    <w:rsid w:val="00877254"/>
    <w:rsid w:val="008773E1"/>
    <w:rsid w:val="00880328"/>
    <w:rsid w:val="0088296E"/>
    <w:rsid w:val="00887BEE"/>
    <w:rsid w:val="008966AB"/>
    <w:rsid w:val="008A2D1F"/>
    <w:rsid w:val="008A361C"/>
    <w:rsid w:val="008A4E32"/>
    <w:rsid w:val="008A6092"/>
    <w:rsid w:val="008A7A09"/>
    <w:rsid w:val="008B491D"/>
    <w:rsid w:val="008B66F3"/>
    <w:rsid w:val="008C468C"/>
    <w:rsid w:val="008C597A"/>
    <w:rsid w:val="008D2F91"/>
    <w:rsid w:val="008D38F6"/>
    <w:rsid w:val="008E0CAE"/>
    <w:rsid w:val="008E6C69"/>
    <w:rsid w:val="008F2A9B"/>
    <w:rsid w:val="009020D6"/>
    <w:rsid w:val="00902DD0"/>
    <w:rsid w:val="00906C6F"/>
    <w:rsid w:val="009170E0"/>
    <w:rsid w:val="00917F85"/>
    <w:rsid w:val="00923B2D"/>
    <w:rsid w:val="00931025"/>
    <w:rsid w:val="00934F8A"/>
    <w:rsid w:val="00935142"/>
    <w:rsid w:val="0093572C"/>
    <w:rsid w:val="00936B12"/>
    <w:rsid w:val="00942E3C"/>
    <w:rsid w:val="0094464E"/>
    <w:rsid w:val="009479EC"/>
    <w:rsid w:val="00950B5C"/>
    <w:rsid w:val="0095108E"/>
    <w:rsid w:val="00953539"/>
    <w:rsid w:val="00955C5E"/>
    <w:rsid w:val="0097401A"/>
    <w:rsid w:val="00983B6F"/>
    <w:rsid w:val="00990EBC"/>
    <w:rsid w:val="0099510D"/>
    <w:rsid w:val="00995AF9"/>
    <w:rsid w:val="009A314D"/>
    <w:rsid w:val="009B2132"/>
    <w:rsid w:val="009B39D9"/>
    <w:rsid w:val="009B76DF"/>
    <w:rsid w:val="009B78A2"/>
    <w:rsid w:val="009C001D"/>
    <w:rsid w:val="009C1446"/>
    <w:rsid w:val="009C66A3"/>
    <w:rsid w:val="009D0DF8"/>
    <w:rsid w:val="009E22BA"/>
    <w:rsid w:val="009E79BB"/>
    <w:rsid w:val="009F3B05"/>
    <w:rsid w:val="00A00A29"/>
    <w:rsid w:val="00A011CD"/>
    <w:rsid w:val="00A02B54"/>
    <w:rsid w:val="00A044CF"/>
    <w:rsid w:val="00A045C2"/>
    <w:rsid w:val="00A11396"/>
    <w:rsid w:val="00A12D3B"/>
    <w:rsid w:val="00A14E7A"/>
    <w:rsid w:val="00A16F1B"/>
    <w:rsid w:val="00A204E7"/>
    <w:rsid w:val="00A24B60"/>
    <w:rsid w:val="00A312DE"/>
    <w:rsid w:val="00A3395B"/>
    <w:rsid w:val="00A37D6D"/>
    <w:rsid w:val="00A400D9"/>
    <w:rsid w:val="00A46585"/>
    <w:rsid w:val="00A53F80"/>
    <w:rsid w:val="00A60473"/>
    <w:rsid w:val="00A73AFE"/>
    <w:rsid w:val="00A76DF3"/>
    <w:rsid w:val="00A81AF7"/>
    <w:rsid w:val="00A8549E"/>
    <w:rsid w:val="00A87E82"/>
    <w:rsid w:val="00A87EB9"/>
    <w:rsid w:val="00A9222E"/>
    <w:rsid w:val="00AA0E34"/>
    <w:rsid w:val="00AA4A96"/>
    <w:rsid w:val="00AB364D"/>
    <w:rsid w:val="00AB7723"/>
    <w:rsid w:val="00AC5A3F"/>
    <w:rsid w:val="00AC5E81"/>
    <w:rsid w:val="00AD0447"/>
    <w:rsid w:val="00AD133C"/>
    <w:rsid w:val="00AE07BA"/>
    <w:rsid w:val="00AF4B38"/>
    <w:rsid w:val="00AF6E9F"/>
    <w:rsid w:val="00B0372B"/>
    <w:rsid w:val="00B10AB8"/>
    <w:rsid w:val="00B14803"/>
    <w:rsid w:val="00B1655B"/>
    <w:rsid w:val="00B226C1"/>
    <w:rsid w:val="00B23F3E"/>
    <w:rsid w:val="00B262F7"/>
    <w:rsid w:val="00B41CC5"/>
    <w:rsid w:val="00B51B01"/>
    <w:rsid w:val="00B66BD1"/>
    <w:rsid w:val="00B6718E"/>
    <w:rsid w:val="00B71788"/>
    <w:rsid w:val="00B72DA8"/>
    <w:rsid w:val="00B8504F"/>
    <w:rsid w:val="00B868EF"/>
    <w:rsid w:val="00B874F2"/>
    <w:rsid w:val="00B900A7"/>
    <w:rsid w:val="00B926C9"/>
    <w:rsid w:val="00B96DB3"/>
    <w:rsid w:val="00BB45C7"/>
    <w:rsid w:val="00BC18A1"/>
    <w:rsid w:val="00BC24A6"/>
    <w:rsid w:val="00BC5CCC"/>
    <w:rsid w:val="00BC636A"/>
    <w:rsid w:val="00BD0AB9"/>
    <w:rsid w:val="00BD13D5"/>
    <w:rsid w:val="00BD3EA8"/>
    <w:rsid w:val="00BD4CA4"/>
    <w:rsid w:val="00BE6D40"/>
    <w:rsid w:val="00C01080"/>
    <w:rsid w:val="00C0362A"/>
    <w:rsid w:val="00C1052A"/>
    <w:rsid w:val="00C14ECE"/>
    <w:rsid w:val="00C17410"/>
    <w:rsid w:val="00C2354A"/>
    <w:rsid w:val="00C33897"/>
    <w:rsid w:val="00C43676"/>
    <w:rsid w:val="00C44B8C"/>
    <w:rsid w:val="00C47C17"/>
    <w:rsid w:val="00C51757"/>
    <w:rsid w:val="00C556C3"/>
    <w:rsid w:val="00C574BA"/>
    <w:rsid w:val="00C57F0F"/>
    <w:rsid w:val="00C66742"/>
    <w:rsid w:val="00C670F8"/>
    <w:rsid w:val="00C82A75"/>
    <w:rsid w:val="00C841B8"/>
    <w:rsid w:val="00C87DC4"/>
    <w:rsid w:val="00CA20FB"/>
    <w:rsid w:val="00CB27BA"/>
    <w:rsid w:val="00CB6A9D"/>
    <w:rsid w:val="00CB7F7B"/>
    <w:rsid w:val="00CC1328"/>
    <w:rsid w:val="00CC48D3"/>
    <w:rsid w:val="00CC5AC7"/>
    <w:rsid w:val="00CC6A0F"/>
    <w:rsid w:val="00CD4AEA"/>
    <w:rsid w:val="00CD50DD"/>
    <w:rsid w:val="00CF471F"/>
    <w:rsid w:val="00D036E1"/>
    <w:rsid w:val="00D11F98"/>
    <w:rsid w:val="00D20FBD"/>
    <w:rsid w:val="00D24C2D"/>
    <w:rsid w:val="00D322BF"/>
    <w:rsid w:val="00D34344"/>
    <w:rsid w:val="00D35590"/>
    <w:rsid w:val="00D41CE6"/>
    <w:rsid w:val="00D52DF4"/>
    <w:rsid w:val="00D56178"/>
    <w:rsid w:val="00D616D5"/>
    <w:rsid w:val="00D6261B"/>
    <w:rsid w:val="00D70EEB"/>
    <w:rsid w:val="00D74E7A"/>
    <w:rsid w:val="00D7524B"/>
    <w:rsid w:val="00D75CEA"/>
    <w:rsid w:val="00D76DE8"/>
    <w:rsid w:val="00D84D31"/>
    <w:rsid w:val="00D93B84"/>
    <w:rsid w:val="00D95E82"/>
    <w:rsid w:val="00DA2240"/>
    <w:rsid w:val="00DD0E97"/>
    <w:rsid w:val="00DD4320"/>
    <w:rsid w:val="00DD6EDA"/>
    <w:rsid w:val="00DE1D06"/>
    <w:rsid w:val="00DF04F9"/>
    <w:rsid w:val="00DF07B6"/>
    <w:rsid w:val="00E013C2"/>
    <w:rsid w:val="00E02547"/>
    <w:rsid w:val="00E06FB9"/>
    <w:rsid w:val="00E07390"/>
    <w:rsid w:val="00E12793"/>
    <w:rsid w:val="00E15924"/>
    <w:rsid w:val="00E17B99"/>
    <w:rsid w:val="00E32DBE"/>
    <w:rsid w:val="00E3336A"/>
    <w:rsid w:val="00E36314"/>
    <w:rsid w:val="00E37494"/>
    <w:rsid w:val="00E51AB6"/>
    <w:rsid w:val="00E521EB"/>
    <w:rsid w:val="00E60ED7"/>
    <w:rsid w:val="00E709C1"/>
    <w:rsid w:val="00E71146"/>
    <w:rsid w:val="00E72ACC"/>
    <w:rsid w:val="00E740F5"/>
    <w:rsid w:val="00E831FD"/>
    <w:rsid w:val="00E84689"/>
    <w:rsid w:val="00EA1EF5"/>
    <w:rsid w:val="00EB0F43"/>
    <w:rsid w:val="00EB31BC"/>
    <w:rsid w:val="00EB5FDD"/>
    <w:rsid w:val="00EB6BF1"/>
    <w:rsid w:val="00EC4975"/>
    <w:rsid w:val="00EC71F0"/>
    <w:rsid w:val="00ED0C7C"/>
    <w:rsid w:val="00ED7650"/>
    <w:rsid w:val="00EE40E6"/>
    <w:rsid w:val="00EF1431"/>
    <w:rsid w:val="00EF1CB8"/>
    <w:rsid w:val="00EF7EAC"/>
    <w:rsid w:val="00F03E95"/>
    <w:rsid w:val="00F05848"/>
    <w:rsid w:val="00F14CE3"/>
    <w:rsid w:val="00F228BB"/>
    <w:rsid w:val="00F2354C"/>
    <w:rsid w:val="00F30CB3"/>
    <w:rsid w:val="00F42712"/>
    <w:rsid w:val="00F43A34"/>
    <w:rsid w:val="00F5132C"/>
    <w:rsid w:val="00F610F6"/>
    <w:rsid w:val="00F65A6E"/>
    <w:rsid w:val="00F6757F"/>
    <w:rsid w:val="00F8592F"/>
    <w:rsid w:val="00F87FEC"/>
    <w:rsid w:val="00F938B9"/>
    <w:rsid w:val="00F941A7"/>
    <w:rsid w:val="00FA0C3F"/>
    <w:rsid w:val="00FB16C9"/>
    <w:rsid w:val="00FB7DB3"/>
    <w:rsid w:val="00FC3B64"/>
    <w:rsid w:val="00FD0106"/>
    <w:rsid w:val="00FD15A5"/>
    <w:rsid w:val="00FD34C7"/>
    <w:rsid w:val="00FE4EC1"/>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F47C3"/>
  <w15:chartTrackingRefBased/>
  <w15:docId w15:val="{C46F565F-23B1-491D-8131-453C01D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51AB6"/>
    <w:pPr>
      <w:spacing w:after="0" w:line="340" w:lineRule="exact"/>
      <w:outlineLvl w:val="1"/>
    </w:pPr>
    <w:rPr>
      <w:rFonts w:ascii="Times" w:eastAsia="Times New Roman" w:hAns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6A"/>
  </w:style>
  <w:style w:type="paragraph" w:styleId="Footer">
    <w:name w:val="footer"/>
    <w:basedOn w:val="Normal"/>
    <w:link w:val="FooterChar"/>
    <w:uiPriority w:val="99"/>
    <w:unhideWhenUsed/>
    <w:rsid w:val="00E3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6A"/>
  </w:style>
  <w:style w:type="character" w:styleId="CommentReference">
    <w:name w:val="annotation reference"/>
    <w:basedOn w:val="DefaultParagraphFont"/>
    <w:uiPriority w:val="99"/>
    <w:semiHidden/>
    <w:unhideWhenUsed/>
    <w:rsid w:val="00E3336A"/>
    <w:rPr>
      <w:sz w:val="16"/>
      <w:szCs w:val="16"/>
    </w:rPr>
  </w:style>
  <w:style w:type="paragraph" w:styleId="CommentText">
    <w:name w:val="annotation text"/>
    <w:basedOn w:val="Normal"/>
    <w:link w:val="CommentTextChar"/>
    <w:uiPriority w:val="99"/>
    <w:semiHidden/>
    <w:unhideWhenUsed/>
    <w:rsid w:val="00E3336A"/>
    <w:pPr>
      <w:spacing w:line="240" w:lineRule="auto"/>
    </w:pPr>
    <w:rPr>
      <w:sz w:val="20"/>
      <w:szCs w:val="20"/>
    </w:rPr>
  </w:style>
  <w:style w:type="character" w:customStyle="1" w:styleId="CommentTextChar">
    <w:name w:val="Comment Text Char"/>
    <w:basedOn w:val="DefaultParagraphFont"/>
    <w:link w:val="CommentText"/>
    <w:uiPriority w:val="99"/>
    <w:semiHidden/>
    <w:rsid w:val="00E3336A"/>
    <w:rPr>
      <w:sz w:val="20"/>
      <w:szCs w:val="20"/>
    </w:rPr>
  </w:style>
  <w:style w:type="paragraph" w:styleId="CommentSubject">
    <w:name w:val="annotation subject"/>
    <w:basedOn w:val="CommentText"/>
    <w:next w:val="CommentText"/>
    <w:link w:val="CommentSubjectChar"/>
    <w:uiPriority w:val="99"/>
    <w:semiHidden/>
    <w:unhideWhenUsed/>
    <w:rsid w:val="00E3336A"/>
    <w:rPr>
      <w:b/>
      <w:bCs/>
    </w:rPr>
  </w:style>
  <w:style w:type="character" w:customStyle="1" w:styleId="CommentSubjectChar">
    <w:name w:val="Comment Subject Char"/>
    <w:basedOn w:val="CommentTextChar"/>
    <w:link w:val="CommentSubject"/>
    <w:uiPriority w:val="99"/>
    <w:semiHidden/>
    <w:rsid w:val="00E3336A"/>
    <w:rPr>
      <w:b/>
      <w:bCs/>
      <w:sz w:val="20"/>
      <w:szCs w:val="20"/>
    </w:rPr>
  </w:style>
  <w:style w:type="paragraph" w:styleId="BalloonText">
    <w:name w:val="Balloon Text"/>
    <w:basedOn w:val="Normal"/>
    <w:link w:val="BalloonTextChar"/>
    <w:uiPriority w:val="99"/>
    <w:semiHidden/>
    <w:unhideWhenUsed/>
    <w:rsid w:val="00E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A"/>
    <w:rPr>
      <w:rFonts w:ascii="Segoe UI" w:hAnsi="Segoe UI" w:cs="Segoe UI"/>
      <w:sz w:val="18"/>
      <w:szCs w:val="18"/>
    </w:rPr>
  </w:style>
  <w:style w:type="character" w:customStyle="1" w:styleId="Heading2Char">
    <w:name w:val="Heading 2 Char"/>
    <w:basedOn w:val="DefaultParagraphFont"/>
    <w:link w:val="Heading2"/>
    <w:rsid w:val="00E51AB6"/>
    <w:rPr>
      <w:rFonts w:ascii="Times" w:eastAsia="Times New Roman" w:hAnsi="Times" w:cs="Times New Roman"/>
      <w:b/>
      <w:sz w:val="30"/>
      <w:szCs w:val="24"/>
    </w:rPr>
  </w:style>
  <w:style w:type="paragraph" w:styleId="BodyText">
    <w:name w:val="Body Text"/>
    <w:basedOn w:val="Normal"/>
    <w:link w:val="BodyTextChar"/>
    <w:rsid w:val="00877254"/>
    <w:pPr>
      <w:autoSpaceDE w:val="0"/>
      <w:autoSpaceDN w:val="0"/>
      <w:adjustRightInd w:val="0"/>
      <w:spacing w:after="0" w:line="300" w:lineRule="exact"/>
    </w:pPr>
    <w:rPr>
      <w:rFonts w:eastAsia="Times New Roman" w:cs="Times New Roman"/>
      <w:color w:val="000000" w:themeColor="text1"/>
      <w:szCs w:val="24"/>
    </w:rPr>
  </w:style>
  <w:style w:type="character" w:customStyle="1" w:styleId="BodyTextChar">
    <w:name w:val="Body Text Char"/>
    <w:basedOn w:val="DefaultParagraphFont"/>
    <w:link w:val="BodyText"/>
    <w:rsid w:val="00877254"/>
    <w:rPr>
      <w:rFonts w:eastAsia="Times New Roman" w:cs="Times New Roman"/>
      <w:color w:val="000000" w:themeColor="text1"/>
      <w:szCs w:val="24"/>
    </w:rPr>
  </w:style>
  <w:style w:type="character" w:styleId="Hyperlink">
    <w:name w:val="Hyperlink"/>
    <w:basedOn w:val="DefaultParagraphFont"/>
    <w:uiPriority w:val="99"/>
    <w:unhideWhenUsed/>
    <w:rsid w:val="00733159"/>
    <w:rPr>
      <w:color w:val="0563C1" w:themeColor="hyperlink"/>
      <w:u w:val="single"/>
    </w:rPr>
  </w:style>
  <w:style w:type="character" w:customStyle="1" w:styleId="UnresolvedMention1">
    <w:name w:val="Unresolved Mention1"/>
    <w:basedOn w:val="DefaultParagraphFont"/>
    <w:uiPriority w:val="99"/>
    <w:semiHidden/>
    <w:unhideWhenUsed/>
    <w:rsid w:val="00733159"/>
    <w:rPr>
      <w:color w:val="605E5C"/>
      <w:shd w:val="clear" w:color="auto" w:fill="E1DFDD"/>
    </w:rPr>
  </w:style>
  <w:style w:type="paragraph" w:styleId="NoSpacing">
    <w:name w:val="No Spacing"/>
    <w:uiPriority w:val="1"/>
    <w:qFormat/>
    <w:rsid w:val="002604DA"/>
    <w:pPr>
      <w:spacing w:after="0" w:line="240" w:lineRule="auto"/>
    </w:pPr>
    <w:rPr>
      <w:sz w:val="23"/>
    </w:rPr>
  </w:style>
  <w:style w:type="paragraph" w:styleId="ListParagraph">
    <w:name w:val="List Paragraph"/>
    <w:basedOn w:val="Normal"/>
    <w:uiPriority w:val="34"/>
    <w:qFormat/>
    <w:rsid w:val="005F10DA"/>
    <w:pPr>
      <w:ind w:left="720"/>
      <w:contextualSpacing/>
    </w:pPr>
  </w:style>
  <w:style w:type="character" w:styleId="PlaceholderText">
    <w:name w:val="Placeholder Text"/>
    <w:basedOn w:val="DefaultParagraphFont"/>
    <w:uiPriority w:val="99"/>
    <w:semiHidden/>
    <w:rsid w:val="00A00A29"/>
    <w:rPr>
      <w:color w:val="808080"/>
    </w:rPr>
  </w:style>
  <w:style w:type="paragraph" w:styleId="FootnoteText">
    <w:name w:val="footnote text"/>
    <w:basedOn w:val="Normal"/>
    <w:link w:val="FootnoteTextChar"/>
    <w:uiPriority w:val="99"/>
    <w:semiHidden/>
    <w:unhideWhenUsed/>
    <w:rsid w:val="001F2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F9B"/>
    <w:rPr>
      <w:sz w:val="20"/>
      <w:szCs w:val="20"/>
    </w:rPr>
  </w:style>
  <w:style w:type="character" w:styleId="FootnoteReference">
    <w:name w:val="footnote reference"/>
    <w:basedOn w:val="DefaultParagraphFont"/>
    <w:uiPriority w:val="99"/>
    <w:semiHidden/>
    <w:unhideWhenUsed/>
    <w:rsid w:val="001F2F9B"/>
    <w:rPr>
      <w:vertAlign w:val="superscript"/>
    </w:rPr>
  </w:style>
  <w:style w:type="paragraph" w:styleId="EndnoteText">
    <w:name w:val="endnote text"/>
    <w:basedOn w:val="Normal"/>
    <w:link w:val="EndnoteTextChar"/>
    <w:uiPriority w:val="99"/>
    <w:semiHidden/>
    <w:unhideWhenUsed/>
    <w:rsid w:val="003C00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00C4"/>
    <w:rPr>
      <w:sz w:val="20"/>
      <w:szCs w:val="20"/>
    </w:rPr>
  </w:style>
  <w:style w:type="character" w:styleId="EndnoteReference">
    <w:name w:val="endnote reference"/>
    <w:basedOn w:val="DefaultParagraphFont"/>
    <w:uiPriority w:val="99"/>
    <w:semiHidden/>
    <w:unhideWhenUsed/>
    <w:rsid w:val="003C00C4"/>
    <w:rPr>
      <w:vertAlign w:val="superscript"/>
    </w:rPr>
  </w:style>
  <w:style w:type="character" w:customStyle="1" w:styleId="UnresolvedMention2">
    <w:name w:val="Unresolved Mention2"/>
    <w:basedOn w:val="DefaultParagraphFont"/>
    <w:uiPriority w:val="99"/>
    <w:semiHidden/>
    <w:unhideWhenUsed/>
    <w:rsid w:val="00C670F8"/>
    <w:rPr>
      <w:color w:val="605E5C"/>
      <w:shd w:val="clear" w:color="auto" w:fill="E1DFDD"/>
    </w:rPr>
  </w:style>
  <w:style w:type="paragraph" w:styleId="Caption">
    <w:name w:val="caption"/>
    <w:basedOn w:val="Normal"/>
    <w:next w:val="Normal"/>
    <w:uiPriority w:val="35"/>
    <w:unhideWhenUsed/>
    <w:qFormat/>
    <w:rsid w:val="001A7556"/>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720DC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0DC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6287">
      <w:bodyDiv w:val="1"/>
      <w:marLeft w:val="0"/>
      <w:marRight w:val="0"/>
      <w:marTop w:val="0"/>
      <w:marBottom w:val="0"/>
      <w:divBdr>
        <w:top w:val="none" w:sz="0" w:space="0" w:color="auto"/>
        <w:left w:val="none" w:sz="0" w:space="0" w:color="auto"/>
        <w:bottom w:val="none" w:sz="0" w:space="0" w:color="auto"/>
        <w:right w:val="none" w:sz="0" w:space="0" w:color="auto"/>
      </w:divBdr>
    </w:div>
    <w:div w:id="173302746">
      <w:bodyDiv w:val="1"/>
      <w:marLeft w:val="0"/>
      <w:marRight w:val="0"/>
      <w:marTop w:val="0"/>
      <w:marBottom w:val="0"/>
      <w:divBdr>
        <w:top w:val="none" w:sz="0" w:space="0" w:color="auto"/>
        <w:left w:val="none" w:sz="0" w:space="0" w:color="auto"/>
        <w:bottom w:val="none" w:sz="0" w:space="0" w:color="auto"/>
        <w:right w:val="none" w:sz="0" w:space="0" w:color="auto"/>
      </w:divBdr>
    </w:div>
    <w:div w:id="413867352">
      <w:bodyDiv w:val="1"/>
      <w:marLeft w:val="0"/>
      <w:marRight w:val="0"/>
      <w:marTop w:val="0"/>
      <w:marBottom w:val="0"/>
      <w:divBdr>
        <w:top w:val="none" w:sz="0" w:space="0" w:color="auto"/>
        <w:left w:val="none" w:sz="0" w:space="0" w:color="auto"/>
        <w:bottom w:val="none" w:sz="0" w:space="0" w:color="auto"/>
        <w:right w:val="none" w:sz="0" w:space="0" w:color="auto"/>
      </w:divBdr>
    </w:div>
    <w:div w:id="763962936">
      <w:bodyDiv w:val="1"/>
      <w:marLeft w:val="0"/>
      <w:marRight w:val="0"/>
      <w:marTop w:val="0"/>
      <w:marBottom w:val="0"/>
      <w:divBdr>
        <w:top w:val="none" w:sz="0" w:space="0" w:color="auto"/>
        <w:left w:val="none" w:sz="0" w:space="0" w:color="auto"/>
        <w:bottom w:val="none" w:sz="0" w:space="0" w:color="auto"/>
        <w:right w:val="none" w:sz="0" w:space="0" w:color="auto"/>
      </w:divBdr>
    </w:div>
    <w:div w:id="897596275">
      <w:bodyDiv w:val="1"/>
      <w:marLeft w:val="0"/>
      <w:marRight w:val="0"/>
      <w:marTop w:val="0"/>
      <w:marBottom w:val="0"/>
      <w:divBdr>
        <w:top w:val="none" w:sz="0" w:space="0" w:color="auto"/>
        <w:left w:val="none" w:sz="0" w:space="0" w:color="auto"/>
        <w:bottom w:val="none" w:sz="0" w:space="0" w:color="auto"/>
        <w:right w:val="none" w:sz="0" w:space="0" w:color="auto"/>
      </w:divBdr>
    </w:div>
    <w:div w:id="1253662274">
      <w:bodyDiv w:val="1"/>
      <w:marLeft w:val="0"/>
      <w:marRight w:val="0"/>
      <w:marTop w:val="0"/>
      <w:marBottom w:val="0"/>
      <w:divBdr>
        <w:top w:val="none" w:sz="0" w:space="0" w:color="auto"/>
        <w:left w:val="none" w:sz="0" w:space="0" w:color="auto"/>
        <w:bottom w:val="none" w:sz="0" w:space="0" w:color="auto"/>
        <w:right w:val="none" w:sz="0" w:space="0" w:color="auto"/>
      </w:divBdr>
    </w:div>
    <w:div w:id="1524175135">
      <w:bodyDiv w:val="1"/>
      <w:marLeft w:val="0"/>
      <w:marRight w:val="0"/>
      <w:marTop w:val="0"/>
      <w:marBottom w:val="0"/>
      <w:divBdr>
        <w:top w:val="none" w:sz="0" w:space="0" w:color="auto"/>
        <w:left w:val="none" w:sz="0" w:space="0" w:color="auto"/>
        <w:bottom w:val="none" w:sz="0" w:space="0" w:color="auto"/>
        <w:right w:val="none" w:sz="0" w:space="0" w:color="auto"/>
      </w:divBdr>
    </w:div>
    <w:div w:id="1578317361">
      <w:bodyDiv w:val="1"/>
      <w:marLeft w:val="0"/>
      <w:marRight w:val="0"/>
      <w:marTop w:val="0"/>
      <w:marBottom w:val="0"/>
      <w:divBdr>
        <w:top w:val="none" w:sz="0" w:space="0" w:color="auto"/>
        <w:left w:val="none" w:sz="0" w:space="0" w:color="auto"/>
        <w:bottom w:val="none" w:sz="0" w:space="0" w:color="auto"/>
        <w:right w:val="none" w:sz="0" w:space="0" w:color="auto"/>
      </w:divBdr>
    </w:div>
    <w:div w:id="1589853148">
      <w:bodyDiv w:val="1"/>
      <w:marLeft w:val="0"/>
      <w:marRight w:val="0"/>
      <w:marTop w:val="0"/>
      <w:marBottom w:val="0"/>
      <w:divBdr>
        <w:top w:val="none" w:sz="0" w:space="0" w:color="auto"/>
        <w:left w:val="none" w:sz="0" w:space="0" w:color="auto"/>
        <w:bottom w:val="none" w:sz="0" w:space="0" w:color="auto"/>
        <w:right w:val="none" w:sz="0" w:space="0" w:color="auto"/>
      </w:divBdr>
    </w:div>
    <w:div w:id="16474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awaii.edu/~anu/pdf/Brief_History_189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lihipalama.org/wp-content/uploads/2016/07/A-Brief-Summary-of-the-History-of-NH-Governance-in-HIJuly-20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i.gov/sites/doi.opengov.ibmcloud.com/files/uploads/McGregor-and-MacKenzie-History_of_Native_Hawaiian_Gover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0402-1518-4C16-A808-6F4BB0FD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1497</Words>
  <Characters>8760</Characters>
  <Application>Microsoft Office Word</Application>
  <DocSecurity>0</DocSecurity>
  <Lines>156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Kahlo</dc:creator>
  <cp:keywords/>
  <dc:description/>
  <cp:lastModifiedBy>Lisa Kupper</cp:lastModifiedBy>
  <cp:revision>58</cp:revision>
  <cp:lastPrinted>2020-09-11T18:43:00Z</cp:lastPrinted>
  <dcterms:created xsi:type="dcterms:W3CDTF">2020-09-10T19:30:00Z</dcterms:created>
  <dcterms:modified xsi:type="dcterms:W3CDTF">2020-09-15T22:53:00Z</dcterms:modified>
</cp:coreProperties>
</file>